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685B7" w14:textId="77777777" w:rsidR="007B3A6B" w:rsidRDefault="007B3A6B" w:rsidP="006E6976">
      <w:pPr>
        <w:jc w:val="both"/>
      </w:pPr>
      <w:r>
        <w:t>The effect and impact of COVID-19 pandemic has caused instability to businesses across various industries. Such uncertainties have triggered the growth of different types of disputes, which have greatly influenced the way we solve them. In Asia, the judicial systems have adapted to the new “norm”. While the circumstances present many challenges, there are also considerable opportunities for those who are set to renew and reinvent.</w:t>
      </w:r>
    </w:p>
    <w:p w14:paraId="22148FFB" w14:textId="053403CD" w:rsidR="007B3A6B" w:rsidRDefault="007B3A6B" w:rsidP="006E6976">
      <w:pPr>
        <w:jc w:val="both"/>
      </w:pPr>
      <w:r>
        <w:t xml:space="preserve">ALB is pleased to launch our </w:t>
      </w:r>
      <w:r w:rsidRPr="0024395C">
        <w:rPr>
          <w:b/>
          <w:bCs/>
        </w:rPr>
        <w:t>Asia’s Top 15 Litigators 2022</w:t>
      </w:r>
      <w:r>
        <w:t xml:space="preserve">, which will be announced in the </w:t>
      </w:r>
      <w:r w:rsidRPr="0024395C">
        <w:rPr>
          <w:b/>
          <w:bCs/>
        </w:rPr>
        <w:t>ALB Magazine’s January</w:t>
      </w:r>
      <w:r w:rsidR="00B83AD4">
        <w:rPr>
          <w:b/>
          <w:bCs/>
        </w:rPr>
        <w:t xml:space="preserve">/ February </w:t>
      </w:r>
      <w:r w:rsidRPr="0024395C">
        <w:rPr>
          <w:b/>
          <w:bCs/>
        </w:rPr>
        <w:t>2022</w:t>
      </w:r>
      <w:r>
        <w:t xml:space="preserve"> issue. Th</w:t>
      </w:r>
      <w:r w:rsidR="00C5564D">
        <w:t>is list</w:t>
      </w:r>
      <w:r>
        <w:t xml:space="preserve"> celebrates top leading litigators and most impactful disputes across Asia.</w:t>
      </w:r>
    </w:p>
    <w:p w14:paraId="72DD0FD1" w14:textId="4C2EAB8D" w:rsidR="0042107D" w:rsidRDefault="007B3A6B" w:rsidP="006E6976">
      <w:pPr>
        <w:jc w:val="both"/>
      </w:pPr>
      <w:r>
        <w:t xml:space="preserve">Profile of cases handled, clients’ recommendations, the use of technology and innovation will be taken into consideration when making an assessment. ALB will draw information from the nominations provided, interviews, editorial resources, and market suggestions to identify the top 15 litigators in Asia. </w:t>
      </w:r>
    </w:p>
    <w:p w14:paraId="14F05CF9" w14:textId="026EE1E7" w:rsidR="007B3A6B" w:rsidRDefault="007B3A6B" w:rsidP="007B3A6B">
      <w:r>
        <w:t>We look forward to receiving your nominations soon.</w:t>
      </w:r>
    </w:p>
    <w:p w14:paraId="4231D315" w14:textId="77777777" w:rsidR="00467E20" w:rsidRDefault="00467E20" w:rsidP="00467E20">
      <w:pPr>
        <w:spacing w:after="0" w:line="240" w:lineRule="auto"/>
        <w:jc w:val="both"/>
        <w:rPr>
          <w:rStyle w:val="Strong"/>
          <w:rFonts w:ascii="Calibri" w:hAnsi="Calibri"/>
          <w:b w:val="0"/>
          <w:bCs w:val="0"/>
        </w:rPr>
      </w:pPr>
    </w:p>
    <w:p w14:paraId="210F2826" w14:textId="35078127" w:rsidR="00655F93" w:rsidRPr="00962E4E" w:rsidRDefault="00655F93" w:rsidP="003742B2">
      <w:pPr>
        <w:pBdr>
          <w:top w:val="single" w:sz="4" w:space="1" w:color="C00000"/>
          <w:left w:val="single" w:sz="4" w:space="4" w:color="C00000"/>
          <w:bottom w:val="single" w:sz="4" w:space="1" w:color="C00000"/>
          <w:right w:val="single" w:sz="4" w:space="4" w:color="C00000"/>
        </w:pBdr>
        <w:spacing w:after="0" w:line="240" w:lineRule="auto"/>
        <w:jc w:val="center"/>
        <w:rPr>
          <w:rStyle w:val="Strong"/>
          <w:rFonts w:ascii="Calibri" w:hAnsi="Calibri"/>
          <w:b w:val="0"/>
          <w:bCs w:val="0"/>
          <w:color w:val="C00000"/>
        </w:rPr>
      </w:pPr>
      <w:r w:rsidRPr="00962E4E">
        <w:rPr>
          <w:rStyle w:val="Strong"/>
          <w:rFonts w:ascii="Calibri" w:hAnsi="Calibri"/>
          <w:b w:val="0"/>
          <w:bCs w:val="0"/>
          <w:color w:val="C00000"/>
        </w:rPr>
        <w:t xml:space="preserve">Submissions are </w:t>
      </w:r>
      <w:r w:rsidR="0042107D">
        <w:rPr>
          <w:rStyle w:val="Strong"/>
          <w:rFonts w:ascii="Calibri" w:hAnsi="Calibri"/>
          <w:b w:val="0"/>
          <w:bCs w:val="0"/>
          <w:color w:val="C00000"/>
        </w:rPr>
        <w:t xml:space="preserve">now open until </w:t>
      </w:r>
      <w:r w:rsidR="003454A8">
        <w:rPr>
          <w:rStyle w:val="Strong"/>
          <w:rFonts w:ascii="Calibri" w:hAnsi="Calibri"/>
          <w:b w:val="0"/>
          <w:bCs w:val="0"/>
          <w:color w:val="C00000"/>
        </w:rPr>
        <w:t>7 December</w:t>
      </w:r>
      <w:r w:rsidRPr="00962E4E">
        <w:rPr>
          <w:rStyle w:val="Strong"/>
          <w:rFonts w:ascii="Calibri" w:hAnsi="Calibri"/>
          <w:b w:val="0"/>
          <w:bCs w:val="0"/>
          <w:color w:val="C00000"/>
        </w:rPr>
        <w:t xml:space="preserve"> 202</w:t>
      </w:r>
      <w:r w:rsidR="0042107D">
        <w:rPr>
          <w:rStyle w:val="Strong"/>
          <w:rFonts w:ascii="Calibri" w:hAnsi="Calibri"/>
          <w:b w:val="0"/>
          <w:bCs w:val="0"/>
          <w:color w:val="C00000"/>
        </w:rPr>
        <w:t>1</w:t>
      </w:r>
      <w:r w:rsidRPr="00962E4E">
        <w:rPr>
          <w:rStyle w:val="Strong"/>
          <w:rFonts w:ascii="Calibri" w:hAnsi="Calibri"/>
          <w:b w:val="0"/>
          <w:bCs w:val="0"/>
          <w:color w:val="C00000"/>
        </w:rPr>
        <w:t>.</w:t>
      </w:r>
    </w:p>
    <w:p w14:paraId="2AE4C14D" w14:textId="77777777" w:rsidR="00655F93" w:rsidRDefault="00655F93" w:rsidP="00F930AA">
      <w:pPr>
        <w:spacing w:after="0" w:line="240" w:lineRule="auto"/>
        <w:jc w:val="both"/>
        <w:rPr>
          <w:rStyle w:val="Strong"/>
          <w:rFonts w:ascii="Calibri" w:hAnsi="Calibri"/>
          <w:b w:val="0"/>
          <w:bCs w:val="0"/>
        </w:rPr>
      </w:pPr>
    </w:p>
    <w:p w14:paraId="62A24FD5" w14:textId="1973EE78" w:rsidR="009D31BD" w:rsidRPr="00286844" w:rsidRDefault="009D31BD" w:rsidP="00F930AA">
      <w:pPr>
        <w:jc w:val="both"/>
        <w:rPr>
          <w:b/>
          <w:bCs/>
          <w:sz w:val="24"/>
          <w:szCs w:val="24"/>
        </w:rPr>
      </w:pPr>
      <w:r w:rsidRPr="00286844">
        <w:rPr>
          <w:b/>
          <w:bCs/>
          <w:color w:val="C00000"/>
          <w:sz w:val="24"/>
          <w:szCs w:val="24"/>
        </w:rPr>
        <w:t>HOW IT WORKS</w:t>
      </w:r>
    </w:p>
    <w:p w14:paraId="3505B912" w14:textId="780043EC" w:rsidR="009D31BD" w:rsidRPr="00546C2A" w:rsidRDefault="00C932A8" w:rsidP="00F930AA">
      <w:pPr>
        <w:jc w:val="both"/>
        <w:rPr>
          <w:b/>
          <w:bCs/>
          <w:color w:val="C00000"/>
          <w:sz w:val="28"/>
          <w:szCs w:val="28"/>
        </w:rPr>
      </w:pPr>
      <w:r>
        <w:rPr>
          <w:noProof/>
        </w:rPr>
        <w:drawing>
          <wp:anchor distT="0" distB="0" distL="114300" distR="114300" simplePos="0" relativeHeight="251658240" behindDoc="0" locked="0" layoutInCell="1" allowOverlap="1" wp14:anchorId="277F9E17" wp14:editId="48AC13BD">
            <wp:simplePos x="0" y="0"/>
            <wp:positionH relativeFrom="column">
              <wp:posOffset>0</wp:posOffset>
            </wp:positionH>
            <wp:positionV relativeFrom="paragraph">
              <wp:posOffset>0</wp:posOffset>
            </wp:positionV>
            <wp:extent cx="2552700" cy="4199239"/>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419923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4B4" w:rsidRPr="00546C2A">
        <w:rPr>
          <w:b/>
          <w:bCs/>
          <w:color w:val="C00000"/>
          <w:sz w:val="28"/>
          <w:szCs w:val="28"/>
        </w:rPr>
        <w:t>H</w:t>
      </w:r>
      <w:r w:rsidR="009F366A" w:rsidRPr="00546C2A">
        <w:rPr>
          <w:b/>
          <w:bCs/>
          <w:color w:val="C00000"/>
          <w:sz w:val="28"/>
          <w:szCs w:val="28"/>
        </w:rPr>
        <w:t xml:space="preserve">ow can you submit </w:t>
      </w:r>
      <w:r w:rsidR="00472C20" w:rsidRPr="00546C2A">
        <w:rPr>
          <w:b/>
          <w:bCs/>
          <w:color w:val="C00000"/>
          <w:sz w:val="28"/>
          <w:szCs w:val="28"/>
        </w:rPr>
        <w:t>the nomination</w:t>
      </w:r>
      <w:r w:rsidR="009F366A" w:rsidRPr="00546C2A">
        <w:rPr>
          <w:b/>
          <w:bCs/>
          <w:color w:val="C00000"/>
          <w:sz w:val="28"/>
          <w:szCs w:val="28"/>
        </w:rPr>
        <w:t xml:space="preserve"> form</w:t>
      </w:r>
      <w:r w:rsidR="00585A40" w:rsidRPr="00546C2A">
        <w:rPr>
          <w:b/>
          <w:bCs/>
          <w:color w:val="C00000"/>
          <w:sz w:val="28"/>
          <w:szCs w:val="28"/>
        </w:rPr>
        <w:t>?</w:t>
      </w:r>
    </w:p>
    <w:p w14:paraId="4816DC66" w14:textId="23C2AED0" w:rsidR="00585A40" w:rsidRDefault="00122486" w:rsidP="00F930AA">
      <w:pPr>
        <w:jc w:val="both"/>
      </w:pPr>
      <w:r>
        <w:t>The completed nomination for</w:t>
      </w:r>
      <w:r w:rsidR="005C0C9D">
        <w:t>m</w:t>
      </w:r>
      <w:r>
        <w:t xml:space="preserve"> </w:t>
      </w:r>
      <w:r w:rsidR="00BC4ED3">
        <w:t>may be</w:t>
      </w:r>
      <w:r>
        <w:t xml:space="preserve"> submitted </w:t>
      </w:r>
      <w:r w:rsidR="00585A40">
        <w:t>b</w:t>
      </w:r>
      <w:r w:rsidR="00F23121">
        <w:t>y</w:t>
      </w:r>
      <w:r w:rsidR="00585A40">
        <w:t xml:space="preserve"> law firms or lawyers</w:t>
      </w:r>
      <w:r w:rsidR="005C0C9D">
        <w:t xml:space="preserve">. It provides </w:t>
      </w:r>
      <w:r w:rsidR="00941C7B">
        <w:t>a summary o</w:t>
      </w:r>
      <w:r w:rsidR="00BC4ED3">
        <w:t>f your</w:t>
      </w:r>
      <w:r w:rsidR="00BF34B4">
        <w:t xml:space="preserve"> litigation achievement</w:t>
      </w:r>
      <w:r w:rsidR="00941C7B">
        <w:t>s</w:t>
      </w:r>
      <w:r w:rsidR="00585A40">
        <w:t xml:space="preserve">. </w:t>
      </w:r>
      <w:r w:rsidR="00941C7B">
        <w:t xml:space="preserve">It also </w:t>
      </w:r>
      <w:r w:rsidR="00585A40">
        <w:t>present</w:t>
      </w:r>
      <w:r w:rsidR="00941C7B">
        <w:t>s</w:t>
      </w:r>
      <w:r w:rsidR="00585A40">
        <w:t xml:space="preserve"> an </w:t>
      </w:r>
      <w:r w:rsidR="00F23121">
        <w:t>opportunity</w:t>
      </w:r>
      <w:r w:rsidR="00585A40">
        <w:t xml:space="preserve"> to demonstrate why</w:t>
      </w:r>
      <w:r w:rsidR="00873B77">
        <w:t xml:space="preserve"> you or</w:t>
      </w:r>
      <w:r w:rsidR="00585A40">
        <w:t xml:space="preserve"> your firm should be ranked in our </w:t>
      </w:r>
      <w:r w:rsidR="00585A40" w:rsidRPr="009D52DF">
        <w:rPr>
          <w:b/>
          <w:bCs/>
        </w:rPr>
        <w:t xml:space="preserve">ALB </w:t>
      </w:r>
      <w:r w:rsidR="00C66A0D" w:rsidRPr="009D52DF">
        <w:rPr>
          <w:b/>
          <w:bCs/>
        </w:rPr>
        <w:t>Asia’s Top 15 Litigators</w:t>
      </w:r>
      <w:r w:rsidR="00B83AD4">
        <w:rPr>
          <w:b/>
          <w:bCs/>
        </w:rPr>
        <w:t xml:space="preserve"> 2022</w:t>
      </w:r>
      <w:r w:rsidR="00585A40">
        <w:t xml:space="preserve">. </w:t>
      </w:r>
    </w:p>
    <w:p w14:paraId="57876F4D" w14:textId="6ED1DF96" w:rsidR="00585A40" w:rsidRDefault="00585A40" w:rsidP="00F930AA">
      <w:pPr>
        <w:jc w:val="both"/>
      </w:pPr>
      <w:r>
        <w:t xml:space="preserve">You may download the </w:t>
      </w:r>
      <w:r w:rsidR="00053CC8" w:rsidRPr="003742B2">
        <w:t xml:space="preserve">nomination </w:t>
      </w:r>
      <w:r w:rsidR="00F930AA" w:rsidRPr="003742B2">
        <w:t>form</w:t>
      </w:r>
      <w:r w:rsidRPr="003742B2">
        <w:t xml:space="preserve"> </w:t>
      </w:r>
      <w:hyperlink r:id="rId11" w:history="1">
        <w:r w:rsidRPr="00BB0EDB">
          <w:rPr>
            <w:rStyle w:val="Hyperlink"/>
            <w:highlight w:val="yellow"/>
          </w:rPr>
          <w:t>here</w:t>
        </w:r>
      </w:hyperlink>
      <w:r>
        <w:t xml:space="preserve">. </w:t>
      </w:r>
      <w:r w:rsidR="00C73A55">
        <w:t>It</w:t>
      </w:r>
      <w:r>
        <w:t xml:space="preserve"> will guide you through all the relevant information</w:t>
      </w:r>
      <w:r w:rsidR="00C73A55">
        <w:t xml:space="preserve"> </w:t>
      </w:r>
      <w:r w:rsidR="00EB30A6">
        <w:t>required</w:t>
      </w:r>
      <w:r w:rsidR="00C73A55">
        <w:t xml:space="preserve"> for</w:t>
      </w:r>
      <w:r>
        <w:t xml:space="preserve"> our research and </w:t>
      </w:r>
      <w:r w:rsidR="00065D40">
        <w:t xml:space="preserve">the </w:t>
      </w:r>
      <w:r w:rsidR="00A43958">
        <w:t xml:space="preserve">information provided will be kept </w:t>
      </w:r>
      <w:r>
        <w:t>completely confidential.</w:t>
      </w:r>
    </w:p>
    <w:p w14:paraId="6D5D95F4" w14:textId="1F7421B0" w:rsidR="00585A40" w:rsidRPr="005E5DC9" w:rsidRDefault="00585A40" w:rsidP="00F930AA">
      <w:pPr>
        <w:jc w:val="both"/>
        <w:rPr>
          <w:b/>
          <w:bCs/>
          <w:color w:val="C00000"/>
          <w:sz w:val="28"/>
          <w:szCs w:val="28"/>
        </w:rPr>
      </w:pPr>
      <w:r w:rsidRPr="005E5DC9">
        <w:rPr>
          <w:b/>
          <w:bCs/>
          <w:color w:val="C00000"/>
          <w:sz w:val="28"/>
          <w:szCs w:val="28"/>
        </w:rPr>
        <w:t>Who can submit and when?</w:t>
      </w:r>
    </w:p>
    <w:p w14:paraId="453D3281" w14:textId="5FC3D84C" w:rsidR="00585A40" w:rsidRPr="00923AAE" w:rsidRDefault="00585A40" w:rsidP="00F930AA">
      <w:pPr>
        <w:jc w:val="both"/>
      </w:pPr>
      <w:r w:rsidRPr="00923AAE">
        <w:t xml:space="preserve">Submissions are open to any </w:t>
      </w:r>
      <w:r w:rsidR="00923AAE" w:rsidRPr="00923AAE">
        <w:t xml:space="preserve">practicing litigators. </w:t>
      </w:r>
    </w:p>
    <w:p w14:paraId="774DCD0C" w14:textId="264F5043" w:rsidR="00923AAE" w:rsidRPr="00923AAE" w:rsidRDefault="00923AAE" w:rsidP="00F930AA">
      <w:pPr>
        <w:jc w:val="both"/>
      </w:pPr>
      <w:r w:rsidRPr="00923AAE">
        <w:t xml:space="preserve">One firm can nominate </w:t>
      </w:r>
      <w:r w:rsidRPr="00923AAE">
        <w:rPr>
          <w:b/>
          <w:bCs/>
          <w:i/>
          <w:iCs/>
        </w:rPr>
        <w:t>up to TWO (2) lawyers</w:t>
      </w:r>
      <w:r w:rsidRPr="00923AAE">
        <w:t xml:space="preserve"> who:</w:t>
      </w:r>
    </w:p>
    <w:p w14:paraId="0B83CA04" w14:textId="481D0A5D" w:rsidR="00817C12" w:rsidRDefault="00F96E0B" w:rsidP="00F930AA">
      <w:pPr>
        <w:pStyle w:val="ListParagraph"/>
        <w:numPr>
          <w:ilvl w:val="0"/>
          <w:numId w:val="3"/>
        </w:numPr>
        <w:jc w:val="both"/>
      </w:pPr>
      <w:r>
        <w:lastRenderedPageBreak/>
        <w:t xml:space="preserve">Lawyers need to permanently be based and practice law in Asia </w:t>
      </w:r>
    </w:p>
    <w:p w14:paraId="4933ABD3" w14:textId="5F0A6E6B" w:rsidR="0043087E" w:rsidRDefault="005148D1" w:rsidP="0043087E">
      <w:pPr>
        <w:pStyle w:val="ListParagraph"/>
        <w:numPr>
          <w:ilvl w:val="0"/>
          <w:numId w:val="3"/>
        </w:numPr>
        <w:jc w:val="both"/>
      </w:pPr>
      <w:r>
        <w:t>Ha</w:t>
      </w:r>
      <w:r w:rsidR="007B6D79">
        <w:t>ve</w:t>
      </w:r>
      <w:r>
        <w:t xml:space="preserve"> outstanding achievement</w:t>
      </w:r>
      <w:r w:rsidR="007B6D79">
        <w:t>s</w:t>
      </w:r>
      <w:r>
        <w:t xml:space="preserve"> in litigation case(s) either taking place in Asia or </w:t>
      </w:r>
      <w:r w:rsidR="00C9479A">
        <w:t xml:space="preserve">representing an Asian client </w:t>
      </w:r>
      <w:r>
        <w:t xml:space="preserve">overseas </w:t>
      </w:r>
      <w:r w:rsidR="003B618B">
        <w:t xml:space="preserve">from </w:t>
      </w:r>
      <w:r w:rsidR="00113D64" w:rsidRPr="006E6976">
        <w:rPr>
          <w:b/>
          <w:bCs/>
        </w:rPr>
        <w:t xml:space="preserve">1 </w:t>
      </w:r>
      <w:r w:rsidR="00B25697" w:rsidRPr="006E6976">
        <w:rPr>
          <w:b/>
          <w:bCs/>
        </w:rPr>
        <w:t>Nov</w:t>
      </w:r>
      <w:r w:rsidR="00113D64" w:rsidRPr="006E6976">
        <w:rPr>
          <w:b/>
          <w:bCs/>
        </w:rPr>
        <w:t xml:space="preserve"> 20</w:t>
      </w:r>
      <w:r w:rsidR="00B379F2" w:rsidRPr="006E6976">
        <w:rPr>
          <w:b/>
          <w:bCs/>
        </w:rPr>
        <w:t>20</w:t>
      </w:r>
      <w:r w:rsidR="00113D64" w:rsidRPr="006E6976">
        <w:rPr>
          <w:b/>
          <w:bCs/>
        </w:rPr>
        <w:t xml:space="preserve"> to 1 </w:t>
      </w:r>
      <w:r w:rsidR="00B379F2" w:rsidRPr="006E6976">
        <w:rPr>
          <w:b/>
          <w:bCs/>
        </w:rPr>
        <w:t>Nov</w:t>
      </w:r>
      <w:r w:rsidR="00113D64" w:rsidRPr="006E6976">
        <w:rPr>
          <w:b/>
          <w:bCs/>
        </w:rPr>
        <w:t xml:space="preserve"> 202</w:t>
      </w:r>
      <w:r w:rsidR="00B379F2" w:rsidRPr="006E6976">
        <w:rPr>
          <w:b/>
          <w:bCs/>
        </w:rPr>
        <w:t>1</w:t>
      </w:r>
      <w:r w:rsidR="003B618B" w:rsidRPr="006E6976">
        <w:rPr>
          <w:b/>
          <w:bCs/>
        </w:rPr>
        <w:t>.</w:t>
      </w:r>
    </w:p>
    <w:p w14:paraId="6CBD7C7D" w14:textId="38123BC3" w:rsidR="0056203E" w:rsidRPr="0043087E" w:rsidRDefault="0056203E" w:rsidP="0043087E">
      <w:pPr>
        <w:pStyle w:val="ListParagraph"/>
        <w:numPr>
          <w:ilvl w:val="0"/>
          <w:numId w:val="3"/>
        </w:numPr>
        <w:jc w:val="both"/>
      </w:pPr>
      <w:r w:rsidRPr="0043087E">
        <w:rPr>
          <w:rFonts w:cstheme="minorHAnsi"/>
        </w:rPr>
        <w:t xml:space="preserve">Submissions from mainland China and Australia/New Zealand </w:t>
      </w:r>
      <w:r w:rsidRPr="008B35BB">
        <w:rPr>
          <w:rFonts w:cstheme="minorHAnsi"/>
          <w:b/>
          <w:bCs/>
        </w:rPr>
        <w:t>will not</w:t>
      </w:r>
      <w:r w:rsidRPr="0043087E">
        <w:rPr>
          <w:rFonts w:cstheme="minorHAnsi"/>
        </w:rPr>
        <w:t xml:space="preserve"> be considered for this list.</w:t>
      </w:r>
    </w:p>
    <w:p w14:paraId="1D7CB421" w14:textId="3AEB5912" w:rsidR="00F930AA" w:rsidRPr="006A6E3E" w:rsidRDefault="009F366A" w:rsidP="00F930AA">
      <w:pPr>
        <w:tabs>
          <w:tab w:val="left" w:pos="4536"/>
        </w:tabs>
        <w:jc w:val="both"/>
        <w:rPr>
          <w:color w:val="C00000"/>
        </w:rPr>
      </w:pPr>
      <w:r w:rsidRPr="006A6E3E">
        <w:rPr>
          <w:b/>
          <w:bCs/>
          <w:color w:val="C00000"/>
        </w:rPr>
        <w:t>Submission deadline</w:t>
      </w:r>
      <w:r w:rsidRPr="00293D2E">
        <w:rPr>
          <w:b/>
          <w:bCs/>
          <w:color w:val="C00000"/>
        </w:rPr>
        <w:t xml:space="preserve"> </w:t>
      </w:r>
      <w:r w:rsidR="009C351B" w:rsidRPr="006A6E3E">
        <w:rPr>
          <w:b/>
          <w:bCs/>
          <w:color w:val="C00000"/>
          <w:u w:val="single"/>
        </w:rPr>
        <w:t>Tues</w:t>
      </w:r>
      <w:r w:rsidR="00FC1416" w:rsidRPr="006A6E3E">
        <w:rPr>
          <w:b/>
          <w:bCs/>
          <w:color w:val="C00000"/>
          <w:u w:val="single"/>
        </w:rPr>
        <w:t xml:space="preserve">day, </w:t>
      </w:r>
      <w:r w:rsidR="003454A8">
        <w:rPr>
          <w:b/>
          <w:bCs/>
          <w:color w:val="C00000"/>
          <w:u w:val="single"/>
        </w:rPr>
        <w:t>7</w:t>
      </w:r>
      <w:r w:rsidR="00B379F2">
        <w:rPr>
          <w:b/>
          <w:bCs/>
          <w:color w:val="C00000"/>
          <w:u w:val="single"/>
        </w:rPr>
        <w:t xml:space="preserve"> </w:t>
      </w:r>
      <w:r w:rsidR="003454A8">
        <w:rPr>
          <w:b/>
          <w:bCs/>
          <w:color w:val="C00000"/>
          <w:u w:val="single"/>
        </w:rPr>
        <w:t>Decem</w:t>
      </w:r>
      <w:r w:rsidR="00B379F2">
        <w:rPr>
          <w:b/>
          <w:bCs/>
          <w:color w:val="C00000"/>
          <w:u w:val="single"/>
        </w:rPr>
        <w:t>ber</w:t>
      </w:r>
      <w:r w:rsidR="00FC1416" w:rsidRPr="006A6E3E">
        <w:rPr>
          <w:b/>
          <w:bCs/>
          <w:color w:val="C00000"/>
          <w:u w:val="single"/>
        </w:rPr>
        <w:t xml:space="preserve"> 202</w:t>
      </w:r>
      <w:r w:rsidR="00B379F2">
        <w:rPr>
          <w:b/>
          <w:bCs/>
          <w:color w:val="C00000"/>
          <w:u w:val="single"/>
        </w:rPr>
        <w:t>1</w:t>
      </w:r>
      <w:r w:rsidR="00295310" w:rsidRPr="006A6E3E">
        <w:rPr>
          <w:b/>
          <w:bCs/>
          <w:color w:val="C00000"/>
          <w:u w:val="single"/>
        </w:rPr>
        <w:t xml:space="preserve">, </w:t>
      </w:r>
      <w:r w:rsidR="00B35A43" w:rsidRPr="006A6E3E">
        <w:rPr>
          <w:b/>
          <w:bCs/>
          <w:color w:val="C00000"/>
          <w:u w:val="single"/>
        </w:rPr>
        <w:t>6.00pm (Singapore time)</w:t>
      </w:r>
    </w:p>
    <w:p w14:paraId="17566C2E" w14:textId="0E92DCE0" w:rsidR="0013421A" w:rsidRPr="0078699D" w:rsidRDefault="00F930AA" w:rsidP="00F930AA">
      <w:pPr>
        <w:tabs>
          <w:tab w:val="left" w:pos="4536"/>
        </w:tabs>
        <w:jc w:val="both"/>
      </w:pPr>
      <w:r>
        <w:t xml:space="preserve">Our deadlines are fixed in order to allow </w:t>
      </w:r>
      <w:r w:rsidR="0013421A">
        <w:t>enough</w:t>
      </w:r>
      <w:r>
        <w:t xml:space="preserve"> time for our research team to </w:t>
      </w:r>
      <w:r w:rsidR="008B35BB">
        <w:t>conduct thorough verifications, retrieve recommendations and implement careful analysis on each submission</w:t>
      </w:r>
    </w:p>
    <w:p w14:paraId="456912E0" w14:textId="239B4944" w:rsidR="00585A40" w:rsidRPr="00286844" w:rsidRDefault="00585A40" w:rsidP="00F930AA">
      <w:pPr>
        <w:tabs>
          <w:tab w:val="left" w:pos="4536"/>
        </w:tabs>
        <w:jc w:val="both"/>
        <w:rPr>
          <w:color w:val="C00000"/>
        </w:rPr>
      </w:pPr>
      <w:r w:rsidRPr="00286844">
        <w:rPr>
          <w:b/>
          <w:bCs/>
          <w:color w:val="C00000"/>
          <w:sz w:val="28"/>
          <w:szCs w:val="28"/>
        </w:rPr>
        <w:t>How to make a submission</w:t>
      </w:r>
    </w:p>
    <w:p w14:paraId="529865DF" w14:textId="680F33F8" w:rsidR="00F23121" w:rsidRDefault="00585A40" w:rsidP="00F930AA">
      <w:pPr>
        <w:jc w:val="both"/>
      </w:pPr>
      <w:r>
        <w:t>Simply provide a clear summary of</w:t>
      </w:r>
      <w:r w:rsidR="001B556E">
        <w:t xml:space="preserve"> the following in our nomination form</w:t>
      </w:r>
      <w:r w:rsidR="009F366A">
        <w:t>:</w:t>
      </w:r>
    </w:p>
    <w:p w14:paraId="44F60E25" w14:textId="340DD5AE" w:rsidR="003B2CF4" w:rsidRDefault="003B2CF4" w:rsidP="006D2848">
      <w:pPr>
        <w:pStyle w:val="Default"/>
        <w:numPr>
          <w:ilvl w:val="0"/>
          <w:numId w:val="11"/>
        </w:numPr>
        <w:spacing w:after="58"/>
        <w:rPr>
          <w:sz w:val="22"/>
          <w:szCs w:val="22"/>
        </w:rPr>
      </w:pPr>
      <w:r>
        <w:rPr>
          <w:sz w:val="22"/>
          <w:szCs w:val="22"/>
        </w:rPr>
        <w:t xml:space="preserve">Top 5 most significant achievements (deals, cases etc.) in candidate’s career. </w:t>
      </w:r>
    </w:p>
    <w:p w14:paraId="2E8985B2" w14:textId="05B10D8F" w:rsidR="003B2CF4" w:rsidRDefault="003B2CF4" w:rsidP="006D2848">
      <w:pPr>
        <w:pStyle w:val="Default"/>
        <w:numPr>
          <w:ilvl w:val="0"/>
          <w:numId w:val="11"/>
        </w:numPr>
        <w:spacing w:after="58"/>
        <w:rPr>
          <w:sz w:val="22"/>
          <w:szCs w:val="22"/>
        </w:rPr>
      </w:pPr>
      <w:r>
        <w:rPr>
          <w:sz w:val="22"/>
          <w:szCs w:val="22"/>
        </w:rPr>
        <w:t>Top 5 most significant work handled in the last 1</w:t>
      </w:r>
      <w:r w:rsidR="00EB55B2">
        <w:rPr>
          <w:sz w:val="22"/>
          <w:szCs w:val="22"/>
        </w:rPr>
        <w:t>2</w:t>
      </w:r>
      <w:r>
        <w:rPr>
          <w:sz w:val="22"/>
          <w:szCs w:val="22"/>
        </w:rPr>
        <w:t xml:space="preserve"> months. </w:t>
      </w:r>
    </w:p>
    <w:p w14:paraId="6CDAD8D9" w14:textId="18A7DDFE" w:rsidR="003B2CF4" w:rsidRDefault="003B2CF4" w:rsidP="006D2848">
      <w:pPr>
        <w:pStyle w:val="Default"/>
        <w:numPr>
          <w:ilvl w:val="0"/>
          <w:numId w:val="11"/>
        </w:numPr>
        <w:spacing w:after="58"/>
        <w:rPr>
          <w:sz w:val="22"/>
          <w:szCs w:val="22"/>
        </w:rPr>
      </w:pPr>
      <w:r>
        <w:rPr>
          <w:sz w:val="22"/>
          <w:szCs w:val="22"/>
        </w:rPr>
        <w:t xml:space="preserve">Up to 5 of candidate’s key clients. </w:t>
      </w:r>
    </w:p>
    <w:p w14:paraId="22BDFF36" w14:textId="2698B627" w:rsidR="003B2CF4" w:rsidRDefault="003B2CF4" w:rsidP="006D2848">
      <w:pPr>
        <w:pStyle w:val="Default"/>
        <w:numPr>
          <w:ilvl w:val="0"/>
          <w:numId w:val="11"/>
        </w:numPr>
        <w:spacing w:after="58"/>
        <w:rPr>
          <w:sz w:val="22"/>
          <w:szCs w:val="22"/>
        </w:rPr>
      </w:pPr>
      <w:r>
        <w:rPr>
          <w:sz w:val="22"/>
          <w:szCs w:val="22"/>
        </w:rPr>
        <w:t>Up to 5 new clients wins in the past 1</w:t>
      </w:r>
      <w:r w:rsidR="00EB55B2">
        <w:rPr>
          <w:sz w:val="22"/>
          <w:szCs w:val="22"/>
        </w:rPr>
        <w:t>2</w:t>
      </w:r>
      <w:r>
        <w:rPr>
          <w:sz w:val="22"/>
          <w:szCs w:val="22"/>
        </w:rPr>
        <w:t xml:space="preserve"> months. </w:t>
      </w:r>
    </w:p>
    <w:p w14:paraId="6DF47030" w14:textId="265062EE" w:rsidR="003B2CF4" w:rsidRDefault="003B2CF4" w:rsidP="006D2848">
      <w:pPr>
        <w:pStyle w:val="Default"/>
        <w:numPr>
          <w:ilvl w:val="0"/>
          <w:numId w:val="11"/>
        </w:numPr>
        <w:spacing w:after="58"/>
        <w:rPr>
          <w:sz w:val="22"/>
          <w:szCs w:val="22"/>
        </w:rPr>
      </w:pPr>
      <w:r>
        <w:rPr>
          <w:sz w:val="22"/>
          <w:szCs w:val="22"/>
        </w:rPr>
        <w:t xml:space="preserve">Significant accolades the candidate has received for work in the form of public recognition, awards etc. </w:t>
      </w:r>
    </w:p>
    <w:p w14:paraId="5580DCC5" w14:textId="74F00353" w:rsidR="003B2CF4" w:rsidRDefault="003B2CF4" w:rsidP="006D2848">
      <w:pPr>
        <w:pStyle w:val="Default"/>
        <w:numPr>
          <w:ilvl w:val="0"/>
          <w:numId w:val="11"/>
        </w:numPr>
        <w:rPr>
          <w:sz w:val="22"/>
          <w:szCs w:val="22"/>
        </w:rPr>
      </w:pPr>
      <w:r>
        <w:rPr>
          <w:sz w:val="22"/>
          <w:szCs w:val="22"/>
        </w:rPr>
        <w:t xml:space="preserve">Any certifications, participation in bar and/or professional activities </w:t>
      </w:r>
    </w:p>
    <w:p w14:paraId="5B4BDE60" w14:textId="4BA24ACE" w:rsidR="00F930AA" w:rsidRDefault="00F930AA" w:rsidP="00724CC4">
      <w:pPr>
        <w:jc w:val="both"/>
      </w:pPr>
    </w:p>
    <w:p w14:paraId="038C3C09" w14:textId="2194F328" w:rsidR="00585A40" w:rsidRPr="00CD2FF6" w:rsidRDefault="00585A40" w:rsidP="00F930AA">
      <w:pPr>
        <w:jc w:val="both"/>
        <w:rPr>
          <w:b/>
          <w:bCs/>
          <w:color w:val="C00000"/>
          <w:sz w:val="28"/>
          <w:szCs w:val="28"/>
        </w:rPr>
      </w:pPr>
      <w:r w:rsidRPr="00CD2FF6">
        <w:rPr>
          <w:b/>
          <w:bCs/>
          <w:color w:val="C00000"/>
          <w:sz w:val="28"/>
          <w:szCs w:val="28"/>
        </w:rPr>
        <w:t xml:space="preserve">Providing </w:t>
      </w:r>
      <w:r w:rsidR="0013421A" w:rsidRPr="00CD2FF6">
        <w:rPr>
          <w:b/>
          <w:bCs/>
          <w:color w:val="C00000"/>
          <w:sz w:val="28"/>
          <w:szCs w:val="28"/>
        </w:rPr>
        <w:t>c</w:t>
      </w:r>
      <w:r w:rsidRPr="00CD2FF6">
        <w:rPr>
          <w:b/>
          <w:bCs/>
          <w:color w:val="C00000"/>
          <w:sz w:val="28"/>
          <w:szCs w:val="28"/>
        </w:rPr>
        <w:t xml:space="preserve">lient </w:t>
      </w:r>
      <w:r w:rsidR="0013421A" w:rsidRPr="00CD2FF6">
        <w:rPr>
          <w:b/>
          <w:bCs/>
          <w:color w:val="C00000"/>
          <w:sz w:val="28"/>
          <w:szCs w:val="28"/>
        </w:rPr>
        <w:t>r</w:t>
      </w:r>
      <w:r w:rsidR="009F366A" w:rsidRPr="00CD2FF6">
        <w:rPr>
          <w:b/>
          <w:bCs/>
          <w:color w:val="C00000"/>
          <w:sz w:val="28"/>
          <w:szCs w:val="28"/>
        </w:rPr>
        <w:t>ecommendation</w:t>
      </w:r>
      <w:r w:rsidR="0013421A" w:rsidRPr="00CD2FF6">
        <w:rPr>
          <w:b/>
          <w:bCs/>
          <w:color w:val="C00000"/>
          <w:sz w:val="28"/>
          <w:szCs w:val="28"/>
        </w:rPr>
        <w:t>s</w:t>
      </w:r>
    </w:p>
    <w:p w14:paraId="05469ABF" w14:textId="2393B1BD" w:rsidR="00F23121" w:rsidRDefault="00585A40" w:rsidP="00F930AA">
      <w:pPr>
        <w:jc w:val="both"/>
      </w:pPr>
      <w:r>
        <w:t xml:space="preserve">We also require a list of referees, whom we may interview. A referee is usually a client, although it can be anyone who has experience and knowledge of your firm in that practice area over the preceding 12 months. Providing referees allows us to gather feedback on your practice. We use these interviews to understand the views and experiences of your clients and this helps to inform our </w:t>
      </w:r>
      <w:r w:rsidR="00F23121">
        <w:t>decisions</w:t>
      </w:r>
      <w:r w:rsidR="00FA51B5">
        <w:t xml:space="preserve">. </w:t>
      </w:r>
    </w:p>
    <w:p w14:paraId="3FF40C2B" w14:textId="1083ADAF" w:rsidR="0011763C" w:rsidRDefault="0011763C" w:rsidP="00F930AA">
      <w:pPr>
        <w:jc w:val="both"/>
      </w:pPr>
      <w:r>
        <w:t>Clients statements are referred to in the first instance and referees are only contacted should ALB require additional information regarding the matters included in the submission.</w:t>
      </w:r>
    </w:p>
    <w:p w14:paraId="5F18329A" w14:textId="2AAFFFAC" w:rsidR="00585A40" w:rsidRPr="00CD2FF6" w:rsidRDefault="00FC1416" w:rsidP="00F930AA">
      <w:pPr>
        <w:jc w:val="both"/>
        <w:rPr>
          <w:b/>
          <w:bCs/>
          <w:color w:val="C00000"/>
          <w:sz w:val="28"/>
          <w:szCs w:val="28"/>
        </w:rPr>
      </w:pPr>
      <w:r w:rsidRPr="00CD2FF6">
        <w:rPr>
          <w:b/>
          <w:bCs/>
          <w:color w:val="C00000"/>
          <w:sz w:val="28"/>
          <w:szCs w:val="28"/>
        </w:rPr>
        <w:t>Research</w:t>
      </w:r>
    </w:p>
    <w:p w14:paraId="23232F08" w14:textId="5613288C" w:rsidR="00FC1416" w:rsidRDefault="00FC1416" w:rsidP="00F930AA">
      <w:pPr>
        <w:jc w:val="both"/>
      </w:pPr>
      <w:r>
        <w:t xml:space="preserve">We conduct our ranking research based on several factors and considerations, all of which are assessed by our research team. Our dedicated research team will review </w:t>
      </w:r>
      <w:r w:rsidR="00C17D02">
        <w:t>all</w:t>
      </w:r>
      <w:r>
        <w:t xml:space="preserve"> submissions provided and carr</w:t>
      </w:r>
      <w:r w:rsidR="00C17D02">
        <w:t>y</w:t>
      </w:r>
      <w:r>
        <w:t xml:space="preserve"> out </w:t>
      </w:r>
      <w:r w:rsidR="00C17D02">
        <w:t xml:space="preserve">the necessary </w:t>
      </w:r>
      <w:r>
        <w:t>interview</w:t>
      </w:r>
      <w:r w:rsidR="00C17D02">
        <w:t>s</w:t>
      </w:r>
      <w:r>
        <w:t xml:space="preserve">. </w:t>
      </w:r>
    </w:p>
    <w:p w14:paraId="0CAA9B4A" w14:textId="62E96968" w:rsidR="009F366A" w:rsidRDefault="009F366A" w:rsidP="00F930AA">
      <w:pPr>
        <w:jc w:val="both"/>
      </w:pPr>
      <w:r>
        <w:t>Sending</w:t>
      </w:r>
      <w:r w:rsidR="00F930AA">
        <w:t xml:space="preserve"> across your</w:t>
      </w:r>
      <w:r>
        <w:t xml:space="preserve"> </w:t>
      </w:r>
      <w:r w:rsidR="00D11FB5">
        <w:t>nominations</w:t>
      </w:r>
      <w:r>
        <w:t xml:space="preserve"> and being interviewed by ALB does not guarantee a ranking. </w:t>
      </w:r>
      <w:r w:rsidR="00F930AA">
        <w:t xml:space="preserve">This is only </w:t>
      </w:r>
      <w:r>
        <w:t>part of the research</w:t>
      </w:r>
      <w:r w:rsidR="00F930AA">
        <w:t xml:space="preserve"> process</w:t>
      </w:r>
      <w:r>
        <w:t xml:space="preserve">. </w:t>
      </w:r>
      <w:r w:rsidR="00DE33FA">
        <w:t>W</w:t>
      </w:r>
      <w:r>
        <w:t>e also consider feedback of clients</w:t>
      </w:r>
      <w:r w:rsidR="003B41C3">
        <w:t xml:space="preserve"> </w:t>
      </w:r>
      <w:r>
        <w:t>and other sources</w:t>
      </w:r>
      <w:r w:rsidR="00F930AA">
        <w:t xml:space="preserve"> as part of the ranking process</w:t>
      </w:r>
      <w:r>
        <w:t>.</w:t>
      </w:r>
    </w:p>
    <w:p w14:paraId="3CC542C7" w14:textId="6C551A6D" w:rsidR="004C6AA4" w:rsidRPr="00F930AA" w:rsidRDefault="004C6AA4" w:rsidP="00F930AA">
      <w:pPr>
        <w:pStyle w:val="ListParagraph"/>
        <w:numPr>
          <w:ilvl w:val="0"/>
          <w:numId w:val="6"/>
        </w:numPr>
        <w:jc w:val="both"/>
        <w:rPr>
          <w:b/>
          <w:bCs/>
        </w:rPr>
      </w:pPr>
      <w:r w:rsidRPr="00F930AA">
        <w:rPr>
          <w:b/>
          <w:bCs/>
        </w:rPr>
        <w:lastRenderedPageBreak/>
        <w:t>Online Research</w:t>
      </w:r>
    </w:p>
    <w:p w14:paraId="3DB47E8A" w14:textId="1B6B39CA" w:rsidR="00300710" w:rsidRDefault="00300710" w:rsidP="00F930AA">
      <w:pPr>
        <w:pStyle w:val="ListParagraph"/>
        <w:numPr>
          <w:ilvl w:val="1"/>
          <w:numId w:val="6"/>
        </w:numPr>
        <w:jc w:val="both"/>
      </w:pPr>
      <w:r>
        <w:t xml:space="preserve">Verify the </w:t>
      </w:r>
      <w:r w:rsidR="00A53EF5">
        <w:t>candidate</w:t>
      </w:r>
      <w:r w:rsidR="0060231B">
        <w:t>’s</w:t>
      </w:r>
      <w:r w:rsidR="00A53EF5">
        <w:t xml:space="preserve"> profile</w:t>
      </w:r>
      <w:r w:rsidR="00BA13B8">
        <w:t xml:space="preserve"> via firm’s website</w:t>
      </w:r>
    </w:p>
    <w:p w14:paraId="5E762461" w14:textId="260CF8E5" w:rsidR="004C6AA4" w:rsidRDefault="004C6AA4" w:rsidP="00F930AA">
      <w:pPr>
        <w:pStyle w:val="ListParagraph"/>
        <w:numPr>
          <w:ilvl w:val="1"/>
          <w:numId w:val="6"/>
        </w:numPr>
        <w:jc w:val="both"/>
      </w:pPr>
      <w:r>
        <w:t xml:space="preserve">Investigate and assess the significant litigation cases submitted by </w:t>
      </w:r>
      <w:r w:rsidR="0060231B">
        <w:t xml:space="preserve">the </w:t>
      </w:r>
      <w:r>
        <w:t>candidate</w:t>
      </w:r>
    </w:p>
    <w:p w14:paraId="3EE02DC1" w14:textId="68A8772E" w:rsidR="0013421A" w:rsidRDefault="004C6AA4" w:rsidP="00032AD8">
      <w:pPr>
        <w:pStyle w:val="ListParagraph"/>
        <w:numPr>
          <w:ilvl w:val="1"/>
          <w:numId w:val="6"/>
        </w:numPr>
        <w:jc w:val="both"/>
      </w:pPr>
      <w:r>
        <w:t>Review and analyze the cases which lawyers participated in and for which judgements were pronounced in the last 12 months which are available on public channels</w:t>
      </w:r>
      <w:r w:rsidR="00032AD8">
        <w:br/>
      </w:r>
    </w:p>
    <w:p w14:paraId="6581BB35" w14:textId="52766500" w:rsidR="004C6AA4" w:rsidRPr="00F930AA" w:rsidRDefault="004C6AA4" w:rsidP="00F930AA">
      <w:pPr>
        <w:pStyle w:val="ListParagraph"/>
        <w:numPr>
          <w:ilvl w:val="0"/>
          <w:numId w:val="6"/>
        </w:numPr>
        <w:jc w:val="both"/>
        <w:rPr>
          <w:b/>
          <w:bCs/>
        </w:rPr>
      </w:pPr>
      <w:r w:rsidRPr="00F930AA">
        <w:rPr>
          <w:b/>
          <w:bCs/>
        </w:rPr>
        <w:t>Interview</w:t>
      </w:r>
    </w:p>
    <w:p w14:paraId="230D96E8" w14:textId="4DE02398" w:rsidR="004C6AA4" w:rsidRDefault="004C6AA4" w:rsidP="00F930AA">
      <w:pPr>
        <w:pStyle w:val="ListParagraph"/>
        <w:jc w:val="both"/>
      </w:pPr>
      <w:r>
        <w:t>Interview with clients</w:t>
      </w:r>
      <w:r w:rsidR="001117E1">
        <w:t xml:space="preserve"> and peers</w:t>
      </w:r>
      <w:r w:rsidR="00746017">
        <w:t xml:space="preserve"> listed in the</w:t>
      </w:r>
      <w:r>
        <w:t xml:space="preserve"> submission</w:t>
      </w:r>
      <w:r w:rsidR="009F366A">
        <w:t>. This is usually done to assess client satisfaction and reputation in the industry</w:t>
      </w:r>
      <w:r w:rsidR="00E11C37">
        <w:t xml:space="preserve"> if </w:t>
      </w:r>
      <w:r w:rsidR="00C14B54">
        <w:t>necessary</w:t>
      </w:r>
    </w:p>
    <w:p w14:paraId="7B8A1704" w14:textId="77777777" w:rsidR="00F01F75" w:rsidRDefault="00251A9A" w:rsidP="008642C6">
      <w:r w:rsidRPr="008642C6">
        <w:t>De</w:t>
      </w:r>
      <w:r w:rsidR="008642C6" w:rsidRPr="008642C6">
        <w:t>tails in 1 and 2 will be compiled</w:t>
      </w:r>
      <w:r w:rsidR="003400A6">
        <w:t xml:space="preserve"> and moved to </w:t>
      </w:r>
      <w:r w:rsidR="00F01F75">
        <w:t>the evaluation process.</w:t>
      </w:r>
    </w:p>
    <w:p w14:paraId="66795D19" w14:textId="037F1445" w:rsidR="006671ED" w:rsidRDefault="006671ED" w:rsidP="0043087E">
      <w:pPr>
        <w:rPr>
          <w:b/>
          <w:bCs/>
          <w:color w:val="C00000"/>
          <w:sz w:val="28"/>
          <w:szCs w:val="28"/>
        </w:rPr>
      </w:pPr>
      <w:r w:rsidRPr="008642C6">
        <w:rPr>
          <w:color w:val="C00000"/>
        </w:rPr>
        <w:br/>
      </w:r>
      <w:r>
        <w:rPr>
          <w:b/>
          <w:bCs/>
          <w:color w:val="C00000"/>
          <w:sz w:val="28"/>
          <w:szCs w:val="28"/>
        </w:rPr>
        <w:t>Evaluation</w:t>
      </w:r>
      <w:r w:rsidR="004623B6">
        <w:rPr>
          <w:b/>
          <w:bCs/>
          <w:color w:val="C00000"/>
          <w:sz w:val="28"/>
          <w:szCs w:val="28"/>
        </w:rPr>
        <w:t xml:space="preserve"> Process</w:t>
      </w:r>
    </w:p>
    <w:p w14:paraId="4F51008E" w14:textId="77777777" w:rsidR="008D2AEB" w:rsidRPr="008D2AEB" w:rsidRDefault="008D2AEB" w:rsidP="008D2AEB">
      <w:pPr>
        <w:spacing w:after="0" w:line="240" w:lineRule="auto"/>
        <w:rPr>
          <w:rFonts w:ascii="Calibri" w:eastAsia="Times New Roman" w:hAnsi="Calibri" w:cs="Calibri"/>
          <w:lang w:val="en-SG" w:eastAsia="en-SG"/>
        </w:rPr>
      </w:pPr>
      <w:r w:rsidRPr="008D2AEB">
        <w:rPr>
          <w:rFonts w:ascii="Calibri" w:eastAsia="Times New Roman" w:hAnsi="Calibri" w:cs="Calibri"/>
          <w:lang w:val="en-SG" w:eastAsia="en-SG"/>
        </w:rPr>
        <w:t>After research and the verification of facts in the nomination forms, all documents will be sent to an independent internal judging panel for evaluation.</w:t>
      </w:r>
    </w:p>
    <w:p w14:paraId="3D02404F" w14:textId="77777777" w:rsidR="008D2AEB" w:rsidRPr="002C1365" w:rsidRDefault="008D2AEB" w:rsidP="00451DC9">
      <w:pPr>
        <w:rPr>
          <w:szCs w:val="21"/>
        </w:rPr>
      </w:pPr>
    </w:p>
    <w:p w14:paraId="24625AE1" w14:textId="0512D0AB" w:rsidR="004C6AA4" w:rsidRPr="003B1086" w:rsidRDefault="004C6AA4" w:rsidP="00F930AA">
      <w:pPr>
        <w:jc w:val="both"/>
        <w:rPr>
          <w:b/>
          <w:bCs/>
          <w:color w:val="C00000"/>
        </w:rPr>
      </w:pPr>
      <w:r w:rsidRPr="00CD2FF6">
        <w:rPr>
          <w:b/>
          <w:bCs/>
          <w:color w:val="C00000"/>
          <w:sz w:val="28"/>
          <w:szCs w:val="28"/>
        </w:rPr>
        <w:t>Evaluatio</w:t>
      </w:r>
      <w:r w:rsidR="003B1086">
        <w:rPr>
          <w:b/>
          <w:bCs/>
          <w:color w:val="C00000"/>
          <w:sz w:val="28"/>
          <w:szCs w:val="28"/>
        </w:rPr>
        <w:t>n Criteria</w:t>
      </w:r>
    </w:p>
    <w:p w14:paraId="33018BA1" w14:textId="0DA78B5E" w:rsidR="004C6AA4" w:rsidRDefault="004C6AA4" w:rsidP="00F930AA">
      <w:pPr>
        <w:pStyle w:val="ListParagraph"/>
        <w:numPr>
          <w:ilvl w:val="0"/>
          <w:numId w:val="7"/>
        </w:numPr>
        <w:jc w:val="both"/>
      </w:pPr>
      <w:r>
        <w:t xml:space="preserve">Significant </w:t>
      </w:r>
      <w:r w:rsidR="002F3C85">
        <w:t>achievements (deals, cases etc.) throughout candidate’s career</w:t>
      </w:r>
      <w:r w:rsidR="00BF6B1A">
        <w:tab/>
      </w:r>
      <w:r w:rsidR="00341229">
        <w:tab/>
      </w:r>
    </w:p>
    <w:p w14:paraId="23B14313" w14:textId="45464EB6" w:rsidR="004C6AA4" w:rsidRDefault="004C6AA4" w:rsidP="00F930AA">
      <w:pPr>
        <w:pStyle w:val="ListParagraph"/>
        <w:numPr>
          <w:ilvl w:val="0"/>
          <w:numId w:val="7"/>
        </w:numPr>
        <w:jc w:val="both"/>
      </w:pPr>
      <w:r>
        <w:t xml:space="preserve">Significant cases </w:t>
      </w:r>
      <w:r w:rsidR="00442E21">
        <w:t xml:space="preserve">handled </w:t>
      </w:r>
      <w:r>
        <w:t>in the last 12 months</w:t>
      </w:r>
      <w:r w:rsidR="009631CC">
        <w:tab/>
      </w:r>
      <w:r w:rsidR="009631CC">
        <w:tab/>
      </w:r>
      <w:r w:rsidR="009631CC">
        <w:tab/>
      </w:r>
      <w:r w:rsidR="009631CC">
        <w:tab/>
      </w:r>
    </w:p>
    <w:p w14:paraId="3C861678" w14:textId="35467CED" w:rsidR="004C6AA4" w:rsidRDefault="004C6AA4" w:rsidP="00F930AA">
      <w:pPr>
        <w:pStyle w:val="ListParagraph"/>
        <w:numPr>
          <w:ilvl w:val="0"/>
          <w:numId w:val="7"/>
        </w:numPr>
        <w:jc w:val="both"/>
      </w:pPr>
      <w:r>
        <w:t>Key client</w:t>
      </w:r>
      <w:r w:rsidR="00336CA7">
        <w:t>s</w:t>
      </w:r>
      <w:r w:rsidR="00963747">
        <w:tab/>
      </w:r>
      <w:r w:rsidR="00963747">
        <w:tab/>
      </w:r>
      <w:r w:rsidR="00963747">
        <w:tab/>
      </w:r>
      <w:r w:rsidR="00963747">
        <w:tab/>
      </w:r>
      <w:r w:rsidR="00963747">
        <w:tab/>
      </w:r>
      <w:r w:rsidR="00963747">
        <w:tab/>
      </w:r>
      <w:r w:rsidR="00963747">
        <w:tab/>
      </w:r>
      <w:r w:rsidR="00341229">
        <w:tab/>
      </w:r>
    </w:p>
    <w:p w14:paraId="1F975C25" w14:textId="6C335DA5" w:rsidR="004C6AA4" w:rsidRDefault="004C6AA4" w:rsidP="00F930AA">
      <w:pPr>
        <w:pStyle w:val="ListParagraph"/>
        <w:numPr>
          <w:ilvl w:val="0"/>
          <w:numId w:val="7"/>
        </w:numPr>
        <w:jc w:val="both"/>
      </w:pPr>
      <w:r>
        <w:t>New clients</w:t>
      </w:r>
      <w:r w:rsidR="00963747">
        <w:tab/>
      </w:r>
      <w:r w:rsidR="00963747">
        <w:tab/>
      </w:r>
      <w:r w:rsidR="00963747">
        <w:tab/>
      </w:r>
      <w:r w:rsidR="00963747">
        <w:tab/>
      </w:r>
      <w:r w:rsidR="00963747">
        <w:tab/>
      </w:r>
      <w:r w:rsidR="00963747">
        <w:tab/>
      </w:r>
      <w:r w:rsidR="00963747">
        <w:tab/>
      </w:r>
      <w:r w:rsidR="00341229">
        <w:tab/>
      </w:r>
    </w:p>
    <w:p w14:paraId="2683F908" w14:textId="099C8313" w:rsidR="004C6AA4" w:rsidRDefault="004C6AA4" w:rsidP="00F930AA">
      <w:pPr>
        <w:pStyle w:val="ListParagraph"/>
        <w:numPr>
          <w:ilvl w:val="0"/>
          <w:numId w:val="7"/>
        </w:numPr>
        <w:jc w:val="both"/>
      </w:pPr>
      <w:r>
        <w:t>Significant accolades / third-party award or recognition</w:t>
      </w:r>
      <w:r w:rsidR="00953EA5">
        <w:tab/>
      </w:r>
      <w:r w:rsidR="00953EA5">
        <w:tab/>
      </w:r>
      <w:r w:rsidR="00341229">
        <w:tab/>
      </w:r>
    </w:p>
    <w:p w14:paraId="4EFB5569" w14:textId="545D1464" w:rsidR="004C6AA4" w:rsidRDefault="004C6AA4" w:rsidP="00F930AA">
      <w:pPr>
        <w:pStyle w:val="ListParagraph"/>
        <w:numPr>
          <w:ilvl w:val="0"/>
          <w:numId w:val="7"/>
        </w:numPr>
        <w:jc w:val="both"/>
      </w:pPr>
      <w:r>
        <w:t>Client recommendations and comments</w:t>
      </w:r>
      <w:r w:rsidR="00A04144">
        <w:tab/>
      </w:r>
      <w:r w:rsidR="00A04144">
        <w:tab/>
      </w:r>
      <w:r w:rsidR="00A04144">
        <w:tab/>
      </w:r>
      <w:r w:rsidR="00A04144">
        <w:tab/>
      </w:r>
      <w:r w:rsidR="00341229">
        <w:tab/>
      </w:r>
      <w:r w:rsidR="0095669C">
        <w:t xml:space="preserve">  </w:t>
      </w:r>
    </w:p>
    <w:p w14:paraId="74A95419" w14:textId="11E42BC7" w:rsidR="004C6AA4" w:rsidRDefault="004C6AA4" w:rsidP="00F930AA">
      <w:pPr>
        <w:pStyle w:val="ListParagraph"/>
        <w:numPr>
          <w:ilvl w:val="0"/>
          <w:numId w:val="7"/>
        </w:numPr>
        <w:jc w:val="both"/>
      </w:pPr>
      <w:r>
        <w:t>Comment</w:t>
      </w:r>
      <w:r w:rsidR="0095669C">
        <w:t>s</w:t>
      </w:r>
      <w:r>
        <w:t xml:space="preserve"> from managing partner or colleague</w:t>
      </w:r>
      <w:r w:rsidR="0095669C">
        <w:tab/>
      </w:r>
      <w:r w:rsidR="0095669C">
        <w:tab/>
      </w:r>
      <w:r w:rsidR="0095669C">
        <w:tab/>
      </w:r>
      <w:r w:rsidR="00341229">
        <w:tab/>
      </w:r>
      <w:r w:rsidR="0095669C">
        <w:t xml:space="preserve">  </w:t>
      </w:r>
    </w:p>
    <w:p w14:paraId="42BF05B6" w14:textId="797036E6" w:rsidR="00CD2F41" w:rsidRDefault="004C6AA4" w:rsidP="00CD2F41">
      <w:pPr>
        <w:pStyle w:val="ListParagraph"/>
        <w:numPr>
          <w:ilvl w:val="0"/>
          <w:numId w:val="7"/>
        </w:numPr>
        <w:jc w:val="both"/>
      </w:pPr>
      <w:r>
        <w:t xml:space="preserve">Cases participated in and </w:t>
      </w:r>
      <w:r w:rsidR="00AC6D3F">
        <w:t>f</w:t>
      </w:r>
      <w:r>
        <w:t>or which judgements were pronounced</w:t>
      </w:r>
      <w:r w:rsidR="00D454D8">
        <w:t>*</w:t>
      </w:r>
      <w:r w:rsidR="00D454D8">
        <w:tab/>
      </w:r>
    </w:p>
    <w:p w14:paraId="3D0B1F1D" w14:textId="18C61DF7" w:rsidR="00CD2F41" w:rsidRDefault="00341229" w:rsidP="00341229">
      <w:pPr>
        <w:pStyle w:val="ListParagraph"/>
        <w:jc w:val="both"/>
      </w:pPr>
      <w:r>
        <w:t>*</w:t>
      </w:r>
      <w:r w:rsidR="00CD2F41">
        <w:t xml:space="preserve">From </w:t>
      </w:r>
      <w:r>
        <w:t xml:space="preserve">1 </w:t>
      </w:r>
      <w:r w:rsidR="00724CC4">
        <w:t>Nov</w:t>
      </w:r>
      <w:r>
        <w:t xml:space="preserve"> 20</w:t>
      </w:r>
      <w:r w:rsidR="00724CC4">
        <w:t>20</w:t>
      </w:r>
      <w:r>
        <w:t xml:space="preserve"> to 1 </w:t>
      </w:r>
      <w:r w:rsidR="00724CC4">
        <w:t>Nov</w:t>
      </w:r>
      <w:r>
        <w:t xml:space="preserve"> 202</w:t>
      </w:r>
      <w:r w:rsidR="00724CC4">
        <w:t>1</w:t>
      </w:r>
    </w:p>
    <w:p w14:paraId="68D1D231" w14:textId="0091F618" w:rsidR="00921F54" w:rsidRPr="00921F54" w:rsidRDefault="00921F54" w:rsidP="00341229">
      <w:pPr>
        <w:pStyle w:val="ListParagraph"/>
        <w:jc w:val="both"/>
        <w:rPr>
          <w:b/>
          <w:bCs/>
        </w:rPr>
      </w:pPr>
      <w:r w:rsidRPr="00921F54">
        <w:rPr>
          <w:b/>
          <w:bCs/>
        </w:rPr>
        <w:tab/>
      </w:r>
      <w:r w:rsidRPr="00921F54">
        <w:rPr>
          <w:b/>
          <w:bCs/>
        </w:rPr>
        <w:tab/>
      </w:r>
      <w:r w:rsidRPr="00921F54">
        <w:rPr>
          <w:b/>
          <w:bCs/>
        </w:rPr>
        <w:tab/>
      </w:r>
      <w:r w:rsidRPr="00921F54">
        <w:rPr>
          <w:b/>
          <w:bCs/>
        </w:rPr>
        <w:tab/>
      </w:r>
      <w:r w:rsidRPr="00921F54">
        <w:rPr>
          <w:b/>
          <w:bCs/>
        </w:rPr>
        <w:tab/>
      </w:r>
      <w:r w:rsidRPr="00921F54">
        <w:rPr>
          <w:b/>
          <w:bCs/>
        </w:rPr>
        <w:tab/>
      </w:r>
      <w:r w:rsidRPr="00921F54">
        <w:rPr>
          <w:b/>
          <w:bCs/>
        </w:rPr>
        <w:tab/>
      </w:r>
    </w:p>
    <w:p w14:paraId="38F90AE7" w14:textId="427854A6" w:rsidR="00152BAB" w:rsidRPr="00152BAB" w:rsidRDefault="009968E3" w:rsidP="00ED7D5F">
      <w:pPr>
        <w:jc w:val="both"/>
      </w:pPr>
      <w:r>
        <w:t xml:space="preserve">The </w:t>
      </w:r>
      <w:r w:rsidR="00152BAB" w:rsidRPr="00152BAB">
        <w:t>evaluation is based on the</w:t>
      </w:r>
      <w:r>
        <w:t xml:space="preserve"> following</w:t>
      </w:r>
      <w:r w:rsidR="00152BAB" w:rsidRPr="00152BAB">
        <w:t xml:space="preserve"> factors: 1</w:t>
      </w:r>
      <w:r w:rsidR="00DA5B24">
        <w:t>)</w:t>
      </w:r>
      <w:r w:rsidR="00152BAB" w:rsidRPr="00152BAB">
        <w:t xml:space="preserve"> Difficulty of cases; 2</w:t>
      </w:r>
      <w:r w:rsidR="00DA5B24">
        <w:t>)</w:t>
      </w:r>
      <w:r w:rsidR="00152BAB" w:rsidRPr="00152BAB">
        <w:t xml:space="preserve"> Litigation strategies employed by lawyers; 3</w:t>
      </w:r>
      <w:r w:rsidR="00DA5B24">
        <w:t>)</w:t>
      </w:r>
      <w:r w:rsidR="00152BAB" w:rsidRPr="00152BAB">
        <w:t xml:space="preserve"> Influence of cases and </w:t>
      </w:r>
      <w:r w:rsidR="006F54E8">
        <w:t xml:space="preserve">the </w:t>
      </w:r>
      <w:r w:rsidR="00021D84">
        <w:t>i</w:t>
      </w:r>
      <w:r w:rsidR="00152BAB" w:rsidRPr="00152BAB">
        <w:t>nnovative nature of cases.</w:t>
      </w:r>
      <w:r w:rsidR="00586F86">
        <w:t xml:space="preserve"> More details are provided below.</w:t>
      </w:r>
    </w:p>
    <w:p w14:paraId="16B1E57E" w14:textId="2C253256" w:rsidR="00152BAB" w:rsidRPr="00152BAB" w:rsidRDefault="00152BAB" w:rsidP="00ED7D5F">
      <w:pPr>
        <w:pStyle w:val="BodyText"/>
        <w:numPr>
          <w:ilvl w:val="0"/>
          <w:numId w:val="9"/>
        </w:numPr>
        <w:spacing w:before="8" w:line="240" w:lineRule="exact"/>
        <w:ind w:left="709" w:hanging="283"/>
        <w:jc w:val="both"/>
        <w:rPr>
          <w:sz w:val="22"/>
          <w:szCs w:val="22"/>
        </w:rPr>
      </w:pPr>
      <w:r w:rsidRPr="00152BAB">
        <w:rPr>
          <w:b/>
          <w:sz w:val="22"/>
          <w:szCs w:val="22"/>
        </w:rPr>
        <w:t>Breadth</w:t>
      </w:r>
      <w:r w:rsidR="006F54E8">
        <w:rPr>
          <w:sz w:val="22"/>
          <w:szCs w:val="22"/>
        </w:rPr>
        <w:t>:</w:t>
      </w:r>
      <w:r w:rsidRPr="00152BAB">
        <w:rPr>
          <w:sz w:val="22"/>
          <w:szCs w:val="22"/>
        </w:rPr>
        <w:t xml:space="preserve"> the degree to which </w:t>
      </w:r>
      <w:r w:rsidR="00A15AEB">
        <w:rPr>
          <w:sz w:val="22"/>
          <w:szCs w:val="22"/>
        </w:rPr>
        <w:t xml:space="preserve">the </w:t>
      </w:r>
      <w:r w:rsidRPr="00152BAB">
        <w:rPr>
          <w:sz w:val="22"/>
          <w:szCs w:val="22"/>
        </w:rPr>
        <w:t>work involved numerous jurisdictions, legal practice areas, parties and industries;</w:t>
      </w:r>
    </w:p>
    <w:p w14:paraId="41BDDF93" w14:textId="6908BB30" w:rsidR="00152BAB" w:rsidRPr="00152BAB" w:rsidRDefault="00152BAB" w:rsidP="00ED7D5F">
      <w:pPr>
        <w:pStyle w:val="BodyText"/>
        <w:numPr>
          <w:ilvl w:val="0"/>
          <w:numId w:val="9"/>
        </w:numPr>
        <w:spacing w:before="8" w:line="240" w:lineRule="exact"/>
        <w:ind w:left="709" w:hanging="283"/>
        <w:jc w:val="both"/>
        <w:rPr>
          <w:sz w:val="22"/>
          <w:szCs w:val="22"/>
        </w:rPr>
      </w:pPr>
      <w:r w:rsidRPr="00152BAB">
        <w:rPr>
          <w:b/>
          <w:sz w:val="22"/>
          <w:szCs w:val="22"/>
        </w:rPr>
        <w:t>Complexity</w:t>
      </w:r>
      <w:r w:rsidR="006F54E8">
        <w:rPr>
          <w:sz w:val="22"/>
          <w:szCs w:val="22"/>
        </w:rPr>
        <w:t xml:space="preserve">: </w:t>
      </w:r>
      <w:r w:rsidRPr="00152BAB">
        <w:rPr>
          <w:sz w:val="22"/>
          <w:szCs w:val="22"/>
        </w:rPr>
        <w:t xml:space="preserve">the degree to which </w:t>
      </w:r>
      <w:r w:rsidR="00A15AEB">
        <w:rPr>
          <w:sz w:val="22"/>
          <w:szCs w:val="22"/>
        </w:rPr>
        <w:t>the</w:t>
      </w:r>
      <w:r w:rsidRPr="00152BAB">
        <w:rPr>
          <w:sz w:val="22"/>
          <w:szCs w:val="22"/>
        </w:rPr>
        <w:t xml:space="preserve"> work require</w:t>
      </w:r>
      <w:r w:rsidR="00A15AEB">
        <w:rPr>
          <w:sz w:val="22"/>
          <w:szCs w:val="22"/>
        </w:rPr>
        <w:t>d</w:t>
      </w:r>
      <w:r w:rsidRPr="00152BAB">
        <w:rPr>
          <w:sz w:val="22"/>
          <w:szCs w:val="22"/>
        </w:rPr>
        <w:t xml:space="preserve"> crucial exercise of legal expertise, business acumen or innovative solutions;</w:t>
      </w:r>
    </w:p>
    <w:p w14:paraId="51EA442B" w14:textId="1A44B346" w:rsidR="00152BAB" w:rsidRPr="00C63B1B" w:rsidRDefault="00152BAB" w:rsidP="00C63B1B">
      <w:pPr>
        <w:pStyle w:val="BodyText"/>
        <w:numPr>
          <w:ilvl w:val="0"/>
          <w:numId w:val="9"/>
        </w:numPr>
        <w:spacing w:before="9" w:line="240" w:lineRule="exact"/>
        <w:ind w:left="709" w:hanging="283"/>
        <w:jc w:val="both"/>
        <w:rPr>
          <w:sz w:val="22"/>
          <w:szCs w:val="22"/>
        </w:rPr>
      </w:pPr>
      <w:r w:rsidRPr="00152BAB">
        <w:rPr>
          <w:b/>
          <w:sz w:val="22"/>
          <w:szCs w:val="22"/>
        </w:rPr>
        <w:t>Impact or significance</w:t>
      </w:r>
      <w:r w:rsidR="006F54E8">
        <w:rPr>
          <w:sz w:val="22"/>
          <w:szCs w:val="22"/>
        </w:rPr>
        <w:t xml:space="preserve">: </w:t>
      </w:r>
      <w:r w:rsidRPr="00152BAB">
        <w:rPr>
          <w:sz w:val="22"/>
          <w:szCs w:val="22"/>
        </w:rPr>
        <w:t>the degree to which clients and other stakeholders, the bench and bar, an industry or the region may be affected</w:t>
      </w:r>
      <w:r w:rsidR="00C31B28">
        <w:rPr>
          <w:sz w:val="22"/>
          <w:szCs w:val="22"/>
        </w:rPr>
        <w:t xml:space="preserve"> by the case</w:t>
      </w:r>
      <w:r w:rsidRPr="00152BAB">
        <w:rPr>
          <w:sz w:val="22"/>
          <w:szCs w:val="22"/>
        </w:rPr>
        <w:t>;</w:t>
      </w:r>
    </w:p>
    <w:p w14:paraId="2345FF63" w14:textId="06E239D7" w:rsidR="00152BAB" w:rsidRPr="00152BAB" w:rsidRDefault="00152BAB" w:rsidP="00ED7D5F">
      <w:pPr>
        <w:pStyle w:val="ListParagraph"/>
        <w:widowControl w:val="0"/>
        <w:numPr>
          <w:ilvl w:val="0"/>
          <w:numId w:val="9"/>
        </w:numPr>
        <w:spacing w:after="0" w:line="240" w:lineRule="auto"/>
        <w:ind w:left="709" w:hanging="283"/>
        <w:jc w:val="both"/>
      </w:pPr>
      <w:bookmarkStart w:id="0" w:name="OLE_LINK13"/>
      <w:bookmarkStart w:id="1" w:name="OLE_LINK14"/>
      <w:r w:rsidRPr="00427EFB">
        <w:rPr>
          <w:b/>
        </w:rPr>
        <w:t>Innovativeness</w:t>
      </w:r>
      <w:r w:rsidR="006F54E8">
        <w:t xml:space="preserve">: </w:t>
      </w:r>
      <w:r w:rsidRPr="00152BAB">
        <w:t xml:space="preserve">the degree to which </w:t>
      </w:r>
      <w:r w:rsidR="009512A3">
        <w:t xml:space="preserve">the </w:t>
      </w:r>
      <w:r w:rsidRPr="00152BAB">
        <w:t>work involve</w:t>
      </w:r>
      <w:r w:rsidR="00831D3A">
        <w:t>d</w:t>
      </w:r>
      <w:r w:rsidRPr="00152BAB">
        <w:t xml:space="preserve"> the application of a new concept or creative solution, process, service, program to existing systems and processes, thus improving organizational capabilities </w:t>
      </w:r>
      <w:r w:rsidR="00F957FB">
        <w:t>or perhaps the</w:t>
      </w:r>
      <w:r w:rsidRPr="00152BAB">
        <w:t xml:space="preserve"> </w:t>
      </w:r>
      <w:bookmarkEnd w:id="0"/>
      <w:bookmarkEnd w:id="1"/>
      <w:r w:rsidR="00F957FB" w:rsidRPr="00311C3F">
        <w:rPr>
          <w:rFonts w:cstheme="minorHAnsi"/>
          <w:color w:val="212121"/>
          <w:bdr w:val="none" w:sz="0" w:space="0" w:color="auto" w:frame="1"/>
        </w:rPr>
        <w:t xml:space="preserve">use of technology to </w:t>
      </w:r>
      <w:r w:rsidR="00293D2E" w:rsidRPr="00311C3F">
        <w:rPr>
          <w:rFonts w:cstheme="minorHAnsi"/>
          <w:color w:val="212121"/>
          <w:bdr w:val="none" w:sz="0" w:space="0" w:color="auto" w:frame="1"/>
        </w:rPr>
        <w:t>minimize</w:t>
      </w:r>
      <w:r w:rsidR="00F957FB" w:rsidRPr="00311C3F">
        <w:rPr>
          <w:rFonts w:cstheme="minorHAnsi"/>
          <w:color w:val="212121"/>
          <w:bdr w:val="none" w:sz="0" w:space="0" w:color="auto" w:frame="1"/>
        </w:rPr>
        <w:t xml:space="preserve"> the impact of the Covid-19 pandemic</w:t>
      </w:r>
      <w:r w:rsidR="00831D3A">
        <w:rPr>
          <w:rFonts w:cstheme="minorHAnsi"/>
          <w:color w:val="212121"/>
          <w:bdr w:val="none" w:sz="0" w:space="0" w:color="auto" w:frame="1"/>
        </w:rPr>
        <w:t>.</w:t>
      </w:r>
    </w:p>
    <w:p w14:paraId="1E80436C" w14:textId="79718972" w:rsidR="004C6AA4" w:rsidRDefault="004C6AA4" w:rsidP="00F930AA">
      <w:pPr>
        <w:jc w:val="both"/>
      </w:pPr>
    </w:p>
    <w:p w14:paraId="13B2C830" w14:textId="5C6252D1" w:rsidR="004C6AA4" w:rsidRPr="00621F7A" w:rsidRDefault="004C6AA4" w:rsidP="00F930AA">
      <w:pPr>
        <w:jc w:val="both"/>
        <w:rPr>
          <w:b/>
          <w:bCs/>
          <w:color w:val="C00000"/>
          <w:sz w:val="28"/>
          <w:szCs w:val="28"/>
        </w:rPr>
      </w:pPr>
      <w:r w:rsidRPr="00621F7A">
        <w:rPr>
          <w:b/>
          <w:bCs/>
          <w:color w:val="C00000"/>
          <w:sz w:val="28"/>
          <w:szCs w:val="28"/>
        </w:rPr>
        <w:t>Announcement</w:t>
      </w:r>
    </w:p>
    <w:p w14:paraId="7A68E05B" w14:textId="2B8166F1" w:rsidR="00FC1416" w:rsidRDefault="00E2345A" w:rsidP="002C1365">
      <w:pPr>
        <w:jc w:val="both"/>
      </w:pPr>
      <w:r>
        <w:t>ALB Asia’s Top 15 Litigators</w:t>
      </w:r>
      <w:r w:rsidR="004C6AA4">
        <w:t xml:space="preserve"> results will be release in </w:t>
      </w:r>
      <w:r w:rsidR="00724CC4">
        <w:t>January</w:t>
      </w:r>
      <w:r w:rsidR="00C14B54">
        <w:t>/ February</w:t>
      </w:r>
      <w:r w:rsidR="00724CC4">
        <w:t xml:space="preserve"> 2022</w:t>
      </w:r>
      <w:r w:rsidR="004C6AA4">
        <w:t xml:space="preserve"> issue of ALB Asia Magazine</w:t>
      </w:r>
      <w:r w:rsidR="001C66BB">
        <w:t>.</w:t>
      </w:r>
    </w:p>
    <w:p w14:paraId="51685EC5" w14:textId="3EBC3C3B" w:rsidR="00022686" w:rsidRDefault="00022686" w:rsidP="002C1365">
      <w:pPr>
        <w:jc w:val="both"/>
      </w:pPr>
    </w:p>
    <w:sectPr w:rsidR="0002268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8BED2" w14:textId="77777777" w:rsidR="00AB37CC" w:rsidRDefault="00AB37CC" w:rsidP="00F23121">
      <w:pPr>
        <w:spacing w:after="0" w:line="240" w:lineRule="auto"/>
      </w:pPr>
      <w:r>
        <w:separator/>
      </w:r>
    </w:p>
  </w:endnote>
  <w:endnote w:type="continuationSeparator" w:id="0">
    <w:p w14:paraId="1165BA84" w14:textId="77777777" w:rsidR="00AB37CC" w:rsidRDefault="00AB37CC" w:rsidP="00F23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34AD" w14:textId="1A99570B" w:rsidR="00F930AA" w:rsidRDefault="002E3A42" w:rsidP="002E3A42">
    <w:pPr>
      <w:pStyle w:val="Footer"/>
      <w:pBdr>
        <w:top w:val="single" w:sz="12" w:space="1" w:color="808080" w:themeColor="background1" w:themeShade="80"/>
      </w:pBdr>
    </w:pPr>
    <w:r w:rsidRPr="002E3A42">
      <w:rPr>
        <w:noProof/>
      </w:rPr>
      <w:drawing>
        <wp:anchor distT="0" distB="0" distL="114300" distR="114300" simplePos="0" relativeHeight="251659264" behindDoc="0" locked="0" layoutInCell="1" allowOverlap="1" wp14:anchorId="57A89D58" wp14:editId="2FCC507D">
          <wp:simplePos x="0" y="0"/>
          <wp:positionH relativeFrom="column">
            <wp:posOffset>4613910</wp:posOffset>
          </wp:positionH>
          <wp:positionV relativeFrom="paragraph">
            <wp:posOffset>160020</wp:posOffset>
          </wp:positionV>
          <wp:extent cx="1114425" cy="371475"/>
          <wp:effectExtent l="19050" t="0" r="9525" b="0"/>
          <wp:wrapNone/>
          <wp:docPr id="5" name="Picture 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a:blip r:embed="rId1"/>
                  <a:srcRect/>
                  <a:stretch>
                    <a:fillRect/>
                  </a:stretch>
                </pic:blipFill>
                <pic:spPr bwMode="auto">
                  <a:xfrm>
                    <a:off x="0" y="0"/>
                    <a:ext cx="1114425" cy="371475"/>
                  </a:xfrm>
                  <a:prstGeom prst="rect">
                    <a:avLst/>
                  </a:prstGeom>
                  <a:noFill/>
                  <a:ln w="9525">
                    <a:noFill/>
                    <a:miter lim="800000"/>
                    <a:headEnd/>
                    <a:tailEnd/>
                  </a:ln>
                </pic:spPr>
              </pic:pic>
            </a:graphicData>
          </a:graphic>
        </wp:anchor>
      </w:drawing>
    </w:r>
    <w:r w:rsidRPr="002E3A42">
      <w:rPr>
        <w:noProof/>
      </w:rPr>
      <w:drawing>
        <wp:anchor distT="0" distB="0" distL="114300" distR="114300" simplePos="0" relativeHeight="251660288" behindDoc="0" locked="0" layoutInCell="1" allowOverlap="1" wp14:anchorId="43E179C2" wp14:editId="77D2E878">
          <wp:simplePos x="0" y="0"/>
          <wp:positionH relativeFrom="column">
            <wp:posOffset>7620</wp:posOffset>
          </wp:positionH>
          <wp:positionV relativeFrom="paragraph">
            <wp:posOffset>213360</wp:posOffset>
          </wp:positionV>
          <wp:extent cx="988695" cy="266700"/>
          <wp:effectExtent l="19050" t="0" r="1905" b="0"/>
          <wp:wrapNone/>
          <wp:docPr id="4"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2"/>
                  <a:srcRect/>
                  <a:stretch>
                    <a:fillRect/>
                  </a:stretch>
                </pic:blipFill>
                <pic:spPr bwMode="auto">
                  <a:xfrm>
                    <a:off x="0" y="0"/>
                    <a:ext cx="988695" cy="2667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7D1B3" w14:textId="77777777" w:rsidR="00AB37CC" w:rsidRDefault="00AB37CC" w:rsidP="00F23121">
      <w:pPr>
        <w:spacing w:after="0" w:line="240" w:lineRule="auto"/>
      </w:pPr>
      <w:r>
        <w:separator/>
      </w:r>
    </w:p>
  </w:footnote>
  <w:footnote w:type="continuationSeparator" w:id="0">
    <w:p w14:paraId="05F2CB83" w14:textId="77777777" w:rsidR="00AB37CC" w:rsidRDefault="00AB37CC" w:rsidP="00F23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4EDBC" w14:textId="77777777" w:rsidR="004D152B" w:rsidRPr="002E3A42" w:rsidRDefault="004D152B" w:rsidP="004D152B">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FF8000"/>
        <w:sz w:val="20"/>
        <w:szCs w:val="20"/>
        <w:lang w:eastAsia="zh-CN"/>
      </w:rPr>
    </w:pPr>
    <w:r w:rsidRPr="007B773A">
      <w:rPr>
        <w:rFonts w:cstheme="minorHAnsi"/>
        <w:b/>
        <w:noProof/>
        <w:color w:val="44546A" w:themeColor="text2"/>
        <w:sz w:val="40"/>
        <w:szCs w:val="28"/>
        <w:lang w:eastAsia="zh-CN"/>
      </w:rPr>
      <w:drawing>
        <wp:anchor distT="0" distB="0" distL="114300" distR="114300" simplePos="0" relativeHeight="251663360" behindDoc="0" locked="0" layoutInCell="1" allowOverlap="1" wp14:anchorId="70FE051B" wp14:editId="5C16D285">
          <wp:simplePos x="0" y="0"/>
          <wp:positionH relativeFrom="column">
            <wp:posOffset>1653540</wp:posOffset>
          </wp:positionH>
          <wp:positionV relativeFrom="paragraph">
            <wp:posOffset>161925</wp:posOffset>
          </wp:positionV>
          <wp:extent cx="988695" cy="266700"/>
          <wp:effectExtent l="19050" t="0" r="1905" b="0"/>
          <wp:wrapNone/>
          <wp:docPr id="2"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srcRect/>
                  <a:stretch>
                    <a:fillRect/>
                  </a:stretch>
                </pic:blipFill>
                <pic:spPr bwMode="auto">
                  <a:xfrm>
                    <a:off x="0" y="0"/>
                    <a:ext cx="988695" cy="266700"/>
                  </a:xfrm>
                  <a:prstGeom prst="rect">
                    <a:avLst/>
                  </a:prstGeom>
                  <a:noFill/>
                  <a:ln w="9525">
                    <a:noFill/>
                    <a:miter lim="800000"/>
                    <a:headEnd/>
                    <a:tailEnd/>
                  </a:ln>
                </pic:spPr>
              </pic:pic>
            </a:graphicData>
          </a:graphic>
        </wp:anchor>
      </w:drawing>
    </w:r>
    <w:r w:rsidRPr="007B773A">
      <w:rPr>
        <w:rFonts w:cstheme="minorHAnsi"/>
        <w:b/>
        <w:noProof/>
        <w:color w:val="44546A" w:themeColor="text2"/>
        <w:sz w:val="40"/>
        <w:szCs w:val="28"/>
        <w:lang w:eastAsia="zh-CN"/>
      </w:rPr>
      <w:drawing>
        <wp:anchor distT="0" distB="0" distL="114300" distR="114300" simplePos="0" relativeHeight="251662336" behindDoc="0" locked="0" layoutInCell="1" allowOverlap="1" wp14:anchorId="72971FF1" wp14:editId="2AB14269">
          <wp:simplePos x="0" y="0"/>
          <wp:positionH relativeFrom="column">
            <wp:posOffset>2849880</wp:posOffset>
          </wp:positionH>
          <wp:positionV relativeFrom="paragraph">
            <wp:posOffset>83820</wp:posOffset>
          </wp:positionV>
          <wp:extent cx="1417320" cy="472440"/>
          <wp:effectExtent l="0" t="0" r="0" b="3810"/>
          <wp:wrapNone/>
          <wp:docPr id="1" name="Picture 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a:blip r:embed="rId2"/>
                  <a:srcRect/>
                  <a:stretch>
                    <a:fillRect/>
                  </a:stretch>
                </pic:blipFill>
                <pic:spPr bwMode="auto">
                  <a:xfrm>
                    <a:off x="0" y="0"/>
                    <a:ext cx="1417320"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2210F8D" w14:textId="77777777" w:rsidR="004D152B" w:rsidRDefault="004D152B" w:rsidP="004D152B">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p>
  <w:p w14:paraId="595E6E49" w14:textId="0ECAC5D8" w:rsidR="004D152B" w:rsidRDefault="004D152B" w:rsidP="004D152B">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r w:rsidRPr="002E3A42">
      <w:rPr>
        <w:rFonts w:cstheme="minorHAnsi"/>
        <w:b/>
        <w:color w:val="44546A" w:themeColor="text2"/>
        <w:sz w:val="40"/>
        <w:szCs w:val="28"/>
        <w:lang w:eastAsia="zh-CN"/>
      </w:rPr>
      <w:t>ALB Asia</w:t>
    </w:r>
    <w:r>
      <w:rPr>
        <w:rFonts w:cstheme="minorHAnsi"/>
        <w:b/>
        <w:color w:val="44546A" w:themeColor="text2"/>
        <w:sz w:val="40"/>
        <w:szCs w:val="28"/>
        <w:lang w:eastAsia="zh-CN"/>
      </w:rPr>
      <w:t>’s</w:t>
    </w:r>
    <w:r w:rsidRPr="002E3A42">
      <w:rPr>
        <w:rFonts w:cstheme="minorHAnsi"/>
        <w:b/>
        <w:color w:val="44546A" w:themeColor="text2"/>
        <w:sz w:val="40"/>
        <w:szCs w:val="28"/>
        <w:lang w:eastAsia="zh-CN"/>
      </w:rPr>
      <w:t xml:space="preserve"> Top 15 Litigators</w:t>
    </w:r>
    <w:r w:rsidR="00B83AD4">
      <w:rPr>
        <w:rFonts w:cstheme="minorHAnsi"/>
        <w:b/>
        <w:color w:val="44546A" w:themeColor="text2"/>
        <w:sz w:val="40"/>
        <w:szCs w:val="28"/>
        <w:lang w:eastAsia="zh-CN"/>
      </w:rPr>
      <w:t xml:space="preserve"> 2022</w:t>
    </w:r>
  </w:p>
  <w:p w14:paraId="3C3DCE03" w14:textId="77777777" w:rsidR="002E3A42" w:rsidRPr="002E3A42" w:rsidRDefault="002E3A42" w:rsidP="004D152B">
    <w:pPr>
      <w:pBdr>
        <w:top w:val="single" w:sz="12" w:space="1" w:color="808080" w:themeColor="background1" w:themeShade="80"/>
        <w:bottom w:val="single" w:sz="12" w:space="1" w:color="808080" w:themeColor="background1" w:themeShade="80"/>
      </w:pBdr>
      <w:spacing w:after="0" w:line="240" w:lineRule="auto"/>
      <w:rPr>
        <w:rFonts w:cstheme="minorHAnsi"/>
        <w:b/>
        <w:color w:val="FF8000"/>
        <w:sz w:val="20"/>
        <w:szCs w:val="20"/>
        <w:lang w:eastAsia="zh-CN"/>
      </w:rPr>
    </w:pPr>
  </w:p>
  <w:p w14:paraId="78727F84" w14:textId="450ED8F3" w:rsidR="00F930AA" w:rsidRDefault="00F93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85179"/>
    <w:multiLevelType w:val="hybridMultilevel"/>
    <w:tmpl w:val="28D6F1DA"/>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8B5670B"/>
    <w:multiLevelType w:val="hybridMultilevel"/>
    <w:tmpl w:val="A41C3D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E284A83"/>
    <w:multiLevelType w:val="hybridMultilevel"/>
    <w:tmpl w:val="AACAAD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15F21F6"/>
    <w:multiLevelType w:val="hybridMultilevel"/>
    <w:tmpl w:val="39E437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AE047C1"/>
    <w:multiLevelType w:val="hybridMultilevel"/>
    <w:tmpl w:val="D4CE610E"/>
    <w:lvl w:ilvl="0" w:tplc="7B8071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E753228"/>
    <w:multiLevelType w:val="hybridMultilevel"/>
    <w:tmpl w:val="D63A12EC"/>
    <w:lvl w:ilvl="0" w:tplc="59A6BB6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4285687"/>
    <w:multiLevelType w:val="hybridMultilevel"/>
    <w:tmpl w:val="92C2955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7" w15:restartNumberingAfterBreak="0">
    <w:nsid w:val="5D555631"/>
    <w:multiLevelType w:val="hybridMultilevel"/>
    <w:tmpl w:val="AF4EC9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F2F2F83"/>
    <w:multiLevelType w:val="hybridMultilevel"/>
    <w:tmpl w:val="D7A4578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ACE0E3F"/>
    <w:multiLevelType w:val="hybridMultilevel"/>
    <w:tmpl w:val="C4D0035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EF439BD"/>
    <w:multiLevelType w:val="hybridMultilevel"/>
    <w:tmpl w:val="AEEAF8D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9"/>
  </w:num>
  <w:num w:numId="5">
    <w:abstractNumId w:val="0"/>
  </w:num>
  <w:num w:numId="6">
    <w:abstractNumId w:val="8"/>
  </w:num>
  <w:num w:numId="7">
    <w:abstractNumId w:val="7"/>
  </w:num>
  <w:num w:numId="8">
    <w:abstractNumId w:val="4"/>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BD"/>
    <w:rsid w:val="00001067"/>
    <w:rsid w:val="00012FAF"/>
    <w:rsid w:val="00021D84"/>
    <w:rsid w:val="00022686"/>
    <w:rsid w:val="00032AD8"/>
    <w:rsid w:val="00052ECB"/>
    <w:rsid w:val="00053CC8"/>
    <w:rsid w:val="00065D40"/>
    <w:rsid w:val="001117E1"/>
    <w:rsid w:val="00113D64"/>
    <w:rsid w:val="0011763C"/>
    <w:rsid w:val="00122486"/>
    <w:rsid w:val="0013421A"/>
    <w:rsid w:val="001511C8"/>
    <w:rsid w:val="00152BAB"/>
    <w:rsid w:val="00152F9C"/>
    <w:rsid w:val="001B556E"/>
    <w:rsid w:val="001C66BB"/>
    <w:rsid w:val="0020513F"/>
    <w:rsid w:val="00251A9A"/>
    <w:rsid w:val="00260F8F"/>
    <w:rsid w:val="00286844"/>
    <w:rsid w:val="00293D2E"/>
    <w:rsid w:val="00295310"/>
    <w:rsid w:val="002B70A1"/>
    <w:rsid w:val="002C1365"/>
    <w:rsid w:val="002D12CA"/>
    <w:rsid w:val="002E008D"/>
    <w:rsid w:val="002E3A42"/>
    <w:rsid w:val="002F3C85"/>
    <w:rsid w:val="00300710"/>
    <w:rsid w:val="00322DD6"/>
    <w:rsid w:val="003263C0"/>
    <w:rsid w:val="00336CA7"/>
    <w:rsid w:val="003400A6"/>
    <w:rsid w:val="00341229"/>
    <w:rsid w:val="003454A8"/>
    <w:rsid w:val="00350909"/>
    <w:rsid w:val="003742B2"/>
    <w:rsid w:val="003B1086"/>
    <w:rsid w:val="003B1317"/>
    <w:rsid w:val="003B2CF4"/>
    <w:rsid w:val="003B3B82"/>
    <w:rsid w:val="003B41C3"/>
    <w:rsid w:val="003B618B"/>
    <w:rsid w:val="004043DD"/>
    <w:rsid w:val="00405B1C"/>
    <w:rsid w:val="0042107D"/>
    <w:rsid w:val="00427C30"/>
    <w:rsid w:val="00427EFB"/>
    <w:rsid w:val="0043087E"/>
    <w:rsid w:val="00437B31"/>
    <w:rsid w:val="00442E21"/>
    <w:rsid w:val="00451DC9"/>
    <w:rsid w:val="004623B6"/>
    <w:rsid w:val="00467E20"/>
    <w:rsid w:val="00472C20"/>
    <w:rsid w:val="00475158"/>
    <w:rsid w:val="004C6AA4"/>
    <w:rsid w:val="004D152B"/>
    <w:rsid w:val="004D7FFB"/>
    <w:rsid w:val="004F0CC7"/>
    <w:rsid w:val="005148D1"/>
    <w:rsid w:val="00535D40"/>
    <w:rsid w:val="00546C2A"/>
    <w:rsid w:val="0056203E"/>
    <w:rsid w:val="00577189"/>
    <w:rsid w:val="00585A40"/>
    <w:rsid w:val="00586F86"/>
    <w:rsid w:val="005C0C9D"/>
    <w:rsid w:val="005D298F"/>
    <w:rsid w:val="005E2BE1"/>
    <w:rsid w:val="005E5DC9"/>
    <w:rsid w:val="0060231B"/>
    <w:rsid w:val="00607571"/>
    <w:rsid w:val="00607F68"/>
    <w:rsid w:val="006119A1"/>
    <w:rsid w:val="00621F7A"/>
    <w:rsid w:val="00647F48"/>
    <w:rsid w:val="00655F93"/>
    <w:rsid w:val="006671ED"/>
    <w:rsid w:val="006A246D"/>
    <w:rsid w:val="006A6E3E"/>
    <w:rsid w:val="006B323F"/>
    <w:rsid w:val="006C27F3"/>
    <w:rsid w:val="006D0A8E"/>
    <w:rsid w:val="006D2848"/>
    <w:rsid w:val="006D46C6"/>
    <w:rsid w:val="006E6976"/>
    <w:rsid w:val="006F54E8"/>
    <w:rsid w:val="00702E4F"/>
    <w:rsid w:val="00724CC4"/>
    <w:rsid w:val="00746017"/>
    <w:rsid w:val="007469A8"/>
    <w:rsid w:val="007713AB"/>
    <w:rsid w:val="00775FA6"/>
    <w:rsid w:val="0078699D"/>
    <w:rsid w:val="007948AC"/>
    <w:rsid w:val="007B3A6B"/>
    <w:rsid w:val="007B6D79"/>
    <w:rsid w:val="007E4081"/>
    <w:rsid w:val="007F49CB"/>
    <w:rsid w:val="00814015"/>
    <w:rsid w:val="00817C12"/>
    <w:rsid w:val="0082657E"/>
    <w:rsid w:val="00831D3A"/>
    <w:rsid w:val="0083636A"/>
    <w:rsid w:val="008642C6"/>
    <w:rsid w:val="00873B77"/>
    <w:rsid w:val="0088411B"/>
    <w:rsid w:val="008B35BB"/>
    <w:rsid w:val="008D2AEB"/>
    <w:rsid w:val="00921F54"/>
    <w:rsid w:val="00923AAE"/>
    <w:rsid w:val="00941C7B"/>
    <w:rsid w:val="009512A3"/>
    <w:rsid w:val="00952A11"/>
    <w:rsid w:val="00953EA5"/>
    <w:rsid w:val="0095669C"/>
    <w:rsid w:val="00962E4E"/>
    <w:rsid w:val="009631CC"/>
    <w:rsid w:val="00963747"/>
    <w:rsid w:val="009968E3"/>
    <w:rsid w:val="009B0359"/>
    <w:rsid w:val="009C351B"/>
    <w:rsid w:val="009C713C"/>
    <w:rsid w:val="009D31BD"/>
    <w:rsid w:val="009D3AEE"/>
    <w:rsid w:val="009D52DF"/>
    <w:rsid w:val="009F366A"/>
    <w:rsid w:val="00A04144"/>
    <w:rsid w:val="00A15AEB"/>
    <w:rsid w:val="00A43958"/>
    <w:rsid w:val="00A53EF5"/>
    <w:rsid w:val="00AB37CC"/>
    <w:rsid w:val="00AC6D3F"/>
    <w:rsid w:val="00AE6B02"/>
    <w:rsid w:val="00B1256B"/>
    <w:rsid w:val="00B13F67"/>
    <w:rsid w:val="00B2458F"/>
    <w:rsid w:val="00B25697"/>
    <w:rsid w:val="00B35A43"/>
    <w:rsid w:val="00B379F2"/>
    <w:rsid w:val="00B77A98"/>
    <w:rsid w:val="00B83AD4"/>
    <w:rsid w:val="00B866E9"/>
    <w:rsid w:val="00BA13B8"/>
    <w:rsid w:val="00BB0EDB"/>
    <w:rsid w:val="00BC4ED3"/>
    <w:rsid w:val="00BD43F6"/>
    <w:rsid w:val="00BE1CE4"/>
    <w:rsid w:val="00BF237F"/>
    <w:rsid w:val="00BF34B4"/>
    <w:rsid w:val="00BF6B1A"/>
    <w:rsid w:val="00C14B54"/>
    <w:rsid w:val="00C17D02"/>
    <w:rsid w:val="00C20D91"/>
    <w:rsid w:val="00C31B28"/>
    <w:rsid w:val="00C5564D"/>
    <w:rsid w:val="00C63B1B"/>
    <w:rsid w:val="00C64CB7"/>
    <w:rsid w:val="00C66A0D"/>
    <w:rsid w:val="00C66A2B"/>
    <w:rsid w:val="00C73A55"/>
    <w:rsid w:val="00C932A8"/>
    <w:rsid w:val="00C9479A"/>
    <w:rsid w:val="00CA1C06"/>
    <w:rsid w:val="00CA6A2D"/>
    <w:rsid w:val="00CD2F41"/>
    <w:rsid w:val="00CD2FF6"/>
    <w:rsid w:val="00CF34E5"/>
    <w:rsid w:val="00D11FB5"/>
    <w:rsid w:val="00D454D8"/>
    <w:rsid w:val="00D53800"/>
    <w:rsid w:val="00DA5B24"/>
    <w:rsid w:val="00DB60B4"/>
    <w:rsid w:val="00DE33FA"/>
    <w:rsid w:val="00E11C37"/>
    <w:rsid w:val="00E2345A"/>
    <w:rsid w:val="00E25F5F"/>
    <w:rsid w:val="00EA2347"/>
    <w:rsid w:val="00EB30A6"/>
    <w:rsid w:val="00EB55B2"/>
    <w:rsid w:val="00EC3EED"/>
    <w:rsid w:val="00ED7D5F"/>
    <w:rsid w:val="00F002B1"/>
    <w:rsid w:val="00F01F75"/>
    <w:rsid w:val="00F23121"/>
    <w:rsid w:val="00F64B0D"/>
    <w:rsid w:val="00F748C6"/>
    <w:rsid w:val="00F930AA"/>
    <w:rsid w:val="00F957FB"/>
    <w:rsid w:val="00F96E0B"/>
    <w:rsid w:val="00FA51B5"/>
    <w:rsid w:val="00FC1416"/>
    <w:rsid w:val="00FD07E1"/>
    <w:rsid w:val="00FD1C98"/>
    <w:rsid w:val="00FD23F1"/>
    <w:rsid w:val="00FF345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B993"/>
  <w15:chartTrackingRefBased/>
  <w15:docId w15:val="{8366E63B-D608-4E47-A9B1-CE8BC6FE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1E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40"/>
    <w:pPr>
      <w:ind w:left="720"/>
      <w:contextualSpacing/>
    </w:pPr>
  </w:style>
  <w:style w:type="paragraph" w:styleId="Header">
    <w:name w:val="header"/>
    <w:basedOn w:val="Normal"/>
    <w:link w:val="HeaderChar"/>
    <w:uiPriority w:val="99"/>
    <w:unhideWhenUsed/>
    <w:rsid w:val="00F23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21"/>
    <w:rPr>
      <w:rFonts w:eastAsiaTheme="minorEastAsia"/>
      <w:lang w:val="en-US"/>
    </w:rPr>
  </w:style>
  <w:style w:type="paragraph" w:styleId="Footer">
    <w:name w:val="footer"/>
    <w:basedOn w:val="Normal"/>
    <w:link w:val="FooterChar"/>
    <w:uiPriority w:val="99"/>
    <w:unhideWhenUsed/>
    <w:rsid w:val="00F23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21"/>
    <w:rPr>
      <w:rFonts w:eastAsiaTheme="minorEastAsia"/>
      <w:lang w:val="en-US"/>
    </w:rPr>
  </w:style>
  <w:style w:type="character" w:styleId="Strong">
    <w:name w:val="Strong"/>
    <w:basedOn w:val="DefaultParagraphFont"/>
    <w:uiPriority w:val="22"/>
    <w:qFormat/>
    <w:rsid w:val="009F366A"/>
    <w:rPr>
      <w:b/>
      <w:bCs/>
    </w:rPr>
  </w:style>
  <w:style w:type="paragraph" w:styleId="NormalWeb">
    <w:name w:val="Normal (Web)"/>
    <w:basedOn w:val="Normal"/>
    <w:uiPriority w:val="99"/>
    <w:unhideWhenUsed/>
    <w:rsid w:val="00F930AA"/>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styleId="Hyperlink">
    <w:name w:val="Hyperlink"/>
    <w:basedOn w:val="DefaultParagraphFont"/>
    <w:uiPriority w:val="99"/>
    <w:unhideWhenUsed/>
    <w:rsid w:val="00F930AA"/>
    <w:rPr>
      <w:color w:val="0000FF"/>
      <w:u w:val="single"/>
    </w:rPr>
  </w:style>
  <w:style w:type="paragraph" w:styleId="IntenseQuote">
    <w:name w:val="Intense Quote"/>
    <w:basedOn w:val="Normal"/>
    <w:next w:val="Normal"/>
    <w:link w:val="IntenseQuoteChar"/>
    <w:uiPriority w:val="30"/>
    <w:qFormat/>
    <w:rsid w:val="00F930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930AA"/>
    <w:rPr>
      <w:rFonts w:eastAsiaTheme="minorEastAsia"/>
      <w:i/>
      <w:iCs/>
      <w:color w:val="4472C4" w:themeColor="accent1"/>
      <w:lang w:val="en-US"/>
    </w:rPr>
  </w:style>
  <w:style w:type="character" w:styleId="UnresolvedMention">
    <w:name w:val="Unresolved Mention"/>
    <w:basedOn w:val="DefaultParagraphFont"/>
    <w:uiPriority w:val="99"/>
    <w:semiHidden/>
    <w:unhideWhenUsed/>
    <w:rsid w:val="006D46C6"/>
    <w:rPr>
      <w:color w:val="605E5C"/>
      <w:shd w:val="clear" w:color="auto" w:fill="E1DFDD"/>
    </w:rPr>
  </w:style>
  <w:style w:type="paragraph" w:styleId="BodyText">
    <w:name w:val="Body Text"/>
    <w:basedOn w:val="Normal"/>
    <w:link w:val="BodyTextChar"/>
    <w:uiPriority w:val="1"/>
    <w:qFormat/>
    <w:rsid w:val="00152BAB"/>
    <w:pPr>
      <w:widowControl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152BAB"/>
    <w:rPr>
      <w:rFonts w:ascii="Calibri" w:eastAsia="Calibri" w:hAnsi="Calibri" w:cs="Calibri"/>
      <w:sz w:val="20"/>
      <w:szCs w:val="20"/>
      <w:lang w:val="en-US"/>
    </w:rPr>
  </w:style>
  <w:style w:type="character" w:styleId="FollowedHyperlink">
    <w:name w:val="FollowedHyperlink"/>
    <w:basedOn w:val="DefaultParagraphFont"/>
    <w:uiPriority w:val="99"/>
    <w:semiHidden/>
    <w:unhideWhenUsed/>
    <w:rsid w:val="00B77A98"/>
    <w:rPr>
      <w:color w:val="954F72" w:themeColor="followedHyperlink"/>
      <w:u w:val="single"/>
    </w:rPr>
  </w:style>
  <w:style w:type="paragraph" w:customStyle="1" w:styleId="Default">
    <w:name w:val="Default"/>
    <w:rsid w:val="00467E20"/>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DB60B4"/>
  </w:style>
  <w:style w:type="character" w:customStyle="1" w:styleId="eop">
    <w:name w:val="eop"/>
    <w:basedOn w:val="DefaultParagraphFont"/>
    <w:rsid w:val="00DB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69875">
      <w:bodyDiv w:val="1"/>
      <w:marLeft w:val="0"/>
      <w:marRight w:val="0"/>
      <w:marTop w:val="0"/>
      <w:marBottom w:val="0"/>
      <w:divBdr>
        <w:top w:val="none" w:sz="0" w:space="0" w:color="auto"/>
        <w:left w:val="none" w:sz="0" w:space="0" w:color="auto"/>
        <w:bottom w:val="none" w:sz="0" w:space="0" w:color="auto"/>
        <w:right w:val="none" w:sz="0" w:space="0" w:color="auto"/>
      </w:divBdr>
    </w:div>
    <w:div w:id="671102088">
      <w:bodyDiv w:val="1"/>
      <w:marLeft w:val="0"/>
      <w:marRight w:val="0"/>
      <w:marTop w:val="0"/>
      <w:marBottom w:val="0"/>
      <w:divBdr>
        <w:top w:val="none" w:sz="0" w:space="0" w:color="auto"/>
        <w:left w:val="none" w:sz="0" w:space="0" w:color="auto"/>
        <w:bottom w:val="none" w:sz="0" w:space="0" w:color="auto"/>
        <w:right w:val="none" w:sz="0" w:space="0" w:color="auto"/>
      </w:divBdr>
    </w:div>
    <w:div w:id="1514565440">
      <w:bodyDiv w:val="1"/>
      <w:marLeft w:val="0"/>
      <w:marRight w:val="0"/>
      <w:marTop w:val="0"/>
      <w:marBottom w:val="0"/>
      <w:divBdr>
        <w:top w:val="none" w:sz="0" w:space="0" w:color="auto"/>
        <w:left w:val="none" w:sz="0" w:space="0" w:color="auto"/>
        <w:bottom w:val="none" w:sz="0" w:space="0" w:color="auto"/>
        <w:right w:val="none" w:sz="0" w:space="0" w:color="auto"/>
      </w:divBdr>
      <w:divsChild>
        <w:div w:id="2086105742">
          <w:marLeft w:val="0"/>
          <w:marRight w:val="0"/>
          <w:marTop w:val="0"/>
          <w:marBottom w:val="0"/>
          <w:divBdr>
            <w:top w:val="none" w:sz="0" w:space="0" w:color="auto"/>
            <w:left w:val="none" w:sz="0" w:space="0" w:color="auto"/>
            <w:bottom w:val="none" w:sz="0" w:space="0" w:color="auto"/>
            <w:right w:val="none" w:sz="0" w:space="0" w:color="auto"/>
          </w:divBdr>
        </w:div>
      </w:divsChild>
    </w:div>
    <w:div w:id="1701125204">
      <w:bodyDiv w:val="1"/>
      <w:marLeft w:val="0"/>
      <w:marRight w:val="0"/>
      <w:marTop w:val="0"/>
      <w:marBottom w:val="0"/>
      <w:divBdr>
        <w:top w:val="none" w:sz="0" w:space="0" w:color="auto"/>
        <w:left w:val="none" w:sz="0" w:space="0" w:color="auto"/>
        <w:bottom w:val="none" w:sz="0" w:space="0" w:color="auto"/>
        <w:right w:val="none" w:sz="0" w:space="0" w:color="auto"/>
      </w:divBdr>
    </w:div>
    <w:div w:id="21465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ina.legalbusinessonline.com/sites/default/files/ALB%20Asia's%20Top%2015%20Litigators%20Nomination%20Form_6.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FDDC02D074C41A27A2BA5CA7698C5" ma:contentTypeVersion="13" ma:contentTypeDescription="Create a new document." ma:contentTypeScope="" ma:versionID="df848b02a1f0b1c578e37c3ea10cc30f">
  <xsd:schema xmlns:xsd="http://www.w3.org/2001/XMLSchema" xmlns:xs="http://www.w3.org/2001/XMLSchema" xmlns:p="http://schemas.microsoft.com/office/2006/metadata/properties" xmlns:ns3="fa4bfe40-146a-429d-a6b0-fd6d035e8937" xmlns:ns4="8fe1e5fa-7a15-4cda-b164-a36a04325b09" targetNamespace="http://schemas.microsoft.com/office/2006/metadata/properties" ma:root="true" ma:fieldsID="15f0e123b8f886dc038196452a5292db" ns3:_="" ns4:_="">
    <xsd:import namespace="fa4bfe40-146a-429d-a6b0-fd6d035e8937"/>
    <xsd:import namespace="8fe1e5fa-7a15-4cda-b164-a36a04325b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bfe40-146a-429d-a6b0-fd6d035e89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1e5fa-7a15-4cda-b164-a36a04325b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82DE8-61BD-4C6D-9C9F-4B35EE26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1760A2-4B55-43EC-AC90-96AD47113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bfe40-146a-429d-a6b0-fd6d035e8937"/>
    <ds:schemaRef ds:uri="8fe1e5fa-7a15-4cda-b164-a36a04325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7F580-83A7-48CB-959A-783842EE8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Lynda (Asia &amp; Emerging Markets)</dc:creator>
  <cp:keywords/>
  <dc:description/>
  <cp:lastModifiedBy>Lim, Lynda (Asia &amp; Emerging Markets)</cp:lastModifiedBy>
  <cp:revision>11</cp:revision>
  <cp:lastPrinted>2020-11-24T04:55:00Z</cp:lastPrinted>
  <dcterms:created xsi:type="dcterms:W3CDTF">2021-11-15T12:10:00Z</dcterms:created>
  <dcterms:modified xsi:type="dcterms:W3CDTF">2021-11-18T12:36:00Z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0x01010019DFDDC02D074C41A27A2BA5CA7698C5</vt:lpwstr>
  </property>
</Properties>
</file>